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E466" w14:textId="063E4C33" w:rsidR="004F4193" w:rsidRDefault="0060236A" w:rsidP="00F13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3F6">
        <w:rPr>
          <w:rFonts w:ascii="Times New Roman" w:hAnsi="Times New Roman" w:cs="Times New Roman"/>
          <w:b/>
          <w:sz w:val="24"/>
          <w:szCs w:val="24"/>
        </w:rPr>
        <w:t>DESTEKLENECEK DANIŞMANLIKLAR LİSTESİ</w:t>
      </w:r>
    </w:p>
    <w:p w14:paraId="41BCF937" w14:textId="77777777" w:rsidR="002D0160" w:rsidRPr="00FA53F6" w:rsidRDefault="002D0160" w:rsidP="00F134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"/>
        <w:gridCol w:w="1255"/>
        <w:gridCol w:w="2859"/>
        <w:gridCol w:w="5056"/>
      </w:tblGrid>
      <w:tr w:rsidR="00FA53F6" w:rsidRPr="00FA53F6" w14:paraId="38C341F0" w14:textId="4A3F9FF4" w:rsidTr="00FF4BC6">
        <w:trPr>
          <w:trHeight w:val="528"/>
        </w:trPr>
        <w:tc>
          <w:tcPr>
            <w:tcW w:w="5000" w:type="pct"/>
            <w:gridSpan w:val="4"/>
          </w:tcPr>
          <w:p w14:paraId="05E83341" w14:textId="55B1B8EE" w:rsidR="00733459" w:rsidRPr="00FA53F6" w:rsidRDefault="00733459" w:rsidP="00FF4BC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UYGULAMA DANIŞMANLIĞI</w:t>
            </w:r>
          </w:p>
        </w:tc>
      </w:tr>
      <w:tr w:rsidR="002D0160" w:rsidRPr="00FA53F6" w14:paraId="52236989" w14:textId="77777777" w:rsidTr="00FF4BC6">
        <w:trPr>
          <w:trHeight w:val="528"/>
        </w:trPr>
        <w:tc>
          <w:tcPr>
            <w:tcW w:w="5000" w:type="pct"/>
            <w:gridSpan w:val="4"/>
          </w:tcPr>
          <w:p w14:paraId="3B0D8ADB" w14:textId="77777777" w:rsidR="002D0160" w:rsidRDefault="002D0160" w:rsidP="002D01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D543E" w14:textId="56A60B54" w:rsidR="002D0160" w:rsidRDefault="002D0160" w:rsidP="002D01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a. Uygulama Danışmanlığı tablosunda “Kapsam” sütununda belirtilen konulara ilişkin;</w:t>
            </w:r>
          </w:p>
          <w:p w14:paraId="1E3D8023" w14:textId="77777777" w:rsidR="002D0160" w:rsidRPr="002D0160" w:rsidRDefault="002D0160" w:rsidP="007D01A3">
            <w:pPr>
              <w:pStyle w:val="ListeParagr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60">
              <w:rPr>
                <w:rFonts w:ascii="Times New Roman" w:hAnsi="Times New Roman" w:cs="Times New Roman"/>
                <w:sz w:val="24"/>
                <w:szCs w:val="24"/>
              </w:rPr>
              <w:t>Parametrelerin belirlenmesi, ölçümü, verilerin toplanması, raporlanması ve takibi,</w:t>
            </w:r>
          </w:p>
          <w:p w14:paraId="372B47E8" w14:textId="55F11EF5" w:rsidR="002D0160" w:rsidRPr="002D0160" w:rsidRDefault="002D0160" w:rsidP="007D01A3">
            <w:pPr>
              <w:pStyle w:val="ListeParagr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160">
              <w:rPr>
                <w:rFonts w:ascii="Times New Roman" w:hAnsi="Times New Roman" w:cs="Times New Roman"/>
                <w:sz w:val="24"/>
                <w:szCs w:val="24"/>
              </w:rPr>
              <w:t>Politika oluşturulması, uygulanması ve buna yönelik kurumsal kapasitenin geliştirilmesi,</w:t>
            </w:r>
          </w:p>
          <w:p w14:paraId="12725D96" w14:textId="77777777" w:rsidR="002D0160" w:rsidRDefault="002D0160" w:rsidP="002D0160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AB Yeşil Mutabakatı ile ilgili ulusal ve uluslararası mevzuata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ihracat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müşteri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taleplerine yönelik gerekliliklere uyum sağlanması</w:t>
            </w:r>
          </w:p>
          <w:p w14:paraId="42179EE9" w14:textId="77777777" w:rsidR="002D0160" w:rsidRPr="00FA53F6" w:rsidRDefault="002D0160" w:rsidP="002D0160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C3FB2" w14:textId="11646E9A" w:rsidR="00334E22" w:rsidRDefault="00334E22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0160" w:rsidRPr="00FA53F6">
              <w:rPr>
                <w:rFonts w:ascii="Times New Roman" w:hAnsi="Times New Roman" w:cs="Times New Roman"/>
                <w:sz w:val="24"/>
                <w:szCs w:val="24"/>
              </w:rPr>
              <w:t>onular</w:t>
            </w:r>
            <w:r w:rsidR="002D0160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2D0160" w:rsidRPr="00FA53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160" w:rsidRPr="00FA53F6">
              <w:rPr>
                <w:rFonts w:ascii="Times New Roman" w:hAnsi="Times New Roman" w:cs="Times New Roman"/>
                <w:sz w:val="24"/>
                <w:szCs w:val="24"/>
              </w:rPr>
              <w:t>ilişkin danışmanlık, teknik ve/veya finansal fizibilite danışmanlığı ve kontrol/doğrulama/raporlama</w:t>
            </w:r>
            <w:r w:rsidR="002D0160">
              <w:rPr>
                <w:rFonts w:ascii="Times New Roman" w:hAnsi="Times New Roman" w:cs="Times New Roman"/>
                <w:sz w:val="24"/>
                <w:szCs w:val="24"/>
              </w:rPr>
              <w:t xml:space="preserve"> faaliyet ve harcamaları desteklenebilir.</w:t>
            </w:r>
          </w:p>
          <w:p w14:paraId="116DF833" w14:textId="77777777" w:rsidR="002D0160" w:rsidRDefault="002D0160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A460C" w14:textId="1E07E547" w:rsidR="002D0160" w:rsidRDefault="002D0160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“Kapsam”a ilişkin örnek teşkil eden faaliyetlere “İçerik” sütununda yer verilmiştir.  </w:t>
            </w:r>
          </w:p>
          <w:p w14:paraId="399988D7" w14:textId="77777777" w:rsidR="002D0160" w:rsidRPr="00FA53F6" w:rsidRDefault="002D0160" w:rsidP="00E46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3F6" w:rsidRPr="00FA53F6" w14:paraId="2496766F" w14:textId="77777777" w:rsidTr="0037757C">
        <w:trPr>
          <w:trHeight w:val="671"/>
        </w:trPr>
        <w:tc>
          <w:tcPr>
            <w:tcW w:w="237" w:type="pct"/>
          </w:tcPr>
          <w:p w14:paraId="7DF30B74" w14:textId="77777777" w:rsidR="00AF513C" w:rsidRPr="00FA53F6" w:rsidRDefault="00AF513C" w:rsidP="00AF5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" w:type="pct"/>
          </w:tcPr>
          <w:p w14:paraId="700B5B92" w14:textId="63055246" w:rsidR="00AF513C" w:rsidRPr="00FA53F6" w:rsidRDefault="00AF513C" w:rsidP="00AF5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Odak Alanı</w:t>
            </w:r>
          </w:p>
        </w:tc>
        <w:tc>
          <w:tcPr>
            <w:tcW w:w="1485" w:type="pct"/>
          </w:tcPr>
          <w:p w14:paraId="7EC4E8BF" w14:textId="5E3221A4" w:rsidR="00AF513C" w:rsidRPr="00FA53F6" w:rsidRDefault="00AF513C" w:rsidP="00AF5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</w:tc>
        <w:tc>
          <w:tcPr>
            <w:tcW w:w="2626" w:type="pct"/>
          </w:tcPr>
          <w:p w14:paraId="6321D933" w14:textId="4441851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İçerik</w:t>
            </w:r>
          </w:p>
        </w:tc>
      </w:tr>
      <w:tr w:rsidR="00FA53F6" w:rsidRPr="00FA53F6" w14:paraId="3B2AF2A9" w14:textId="1593569E" w:rsidTr="0037757C">
        <w:trPr>
          <w:trHeight w:val="252"/>
        </w:trPr>
        <w:tc>
          <w:tcPr>
            <w:tcW w:w="237" w:type="pct"/>
          </w:tcPr>
          <w:p w14:paraId="7515C2F4" w14:textId="043C8CB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14:paraId="5286EDB9" w14:textId="2657103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1D5AB052" w14:textId="710FC30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Genel Çevre Yönetimi</w:t>
            </w:r>
          </w:p>
        </w:tc>
        <w:tc>
          <w:tcPr>
            <w:tcW w:w="2626" w:type="pct"/>
          </w:tcPr>
          <w:p w14:paraId="07B4998E" w14:textId="57093A11" w:rsidR="00FA53F6" w:rsidRDefault="00AF513C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 Yönetim Sistemi</w:t>
            </w:r>
            <w:r w:rsidR="00216A1B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506EB487" w14:textId="0EAFB99E" w:rsidR="00FA53F6" w:rsidRPr="00FA53F6" w:rsidRDefault="00FA53F6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B53ED19" w14:textId="421083AC" w:rsidTr="0037757C">
        <w:trPr>
          <w:trHeight w:val="263"/>
        </w:trPr>
        <w:tc>
          <w:tcPr>
            <w:tcW w:w="237" w:type="pct"/>
          </w:tcPr>
          <w:p w14:paraId="108818B4" w14:textId="21EEE80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14:paraId="74EDBAB9" w14:textId="5EE4F49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5F214B55" w14:textId="6BB27DA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Atık Yönetimi ve Döngüsel Ekonomi</w:t>
            </w:r>
          </w:p>
        </w:tc>
        <w:tc>
          <w:tcPr>
            <w:tcW w:w="2626" w:type="pct"/>
          </w:tcPr>
          <w:p w14:paraId="08AA1BAA" w14:textId="18057BFD" w:rsidR="00AF513C" w:rsidRDefault="00216A1B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>ıfır atık yönetimi, tehlikeli atık yönetimi, geri dönüşüm, tek kullanımlık plastik tüketimi, döngüsel ekonomi, atık azaltımı vb.</w:t>
            </w:r>
          </w:p>
          <w:p w14:paraId="0E983527" w14:textId="1668093C" w:rsidR="00FA53F6" w:rsidRPr="00FA53F6" w:rsidRDefault="00FA53F6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0E3E50C" w14:textId="003BE094" w:rsidTr="0037757C">
        <w:trPr>
          <w:trHeight w:val="263"/>
        </w:trPr>
        <w:tc>
          <w:tcPr>
            <w:tcW w:w="237" w:type="pct"/>
          </w:tcPr>
          <w:p w14:paraId="3A2AF961" w14:textId="09CFCC9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" w:type="pct"/>
          </w:tcPr>
          <w:p w14:paraId="2971E789" w14:textId="50286EA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11CC2CEB" w14:textId="50DBCBE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Sürdürülebilir Ürün ve Hizmetler</w:t>
            </w:r>
          </w:p>
        </w:tc>
        <w:tc>
          <w:tcPr>
            <w:tcW w:w="2626" w:type="pct"/>
          </w:tcPr>
          <w:p w14:paraId="6C9FA305" w14:textId="79AAFFFD" w:rsidR="00AF513C" w:rsidRPr="00FA53F6" w:rsidRDefault="00216A1B" w:rsidP="00FA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>rünlerin çevresel etkilerinin azaltılması,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3R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kullanım ömrünün artırılması, yeniden kullanımı veya geri dönüşümüne yönelik tasarım, uygulama, ar-ge, ür-ge, test, kontrol, etiketleme vb.</w:t>
            </w:r>
          </w:p>
          <w:p w14:paraId="14234537" w14:textId="4AC3EC4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24C7C226" w14:textId="28231258" w:rsidTr="0037757C">
        <w:trPr>
          <w:trHeight w:val="263"/>
        </w:trPr>
        <w:tc>
          <w:tcPr>
            <w:tcW w:w="237" w:type="pct"/>
          </w:tcPr>
          <w:p w14:paraId="30CBAE80" w14:textId="03E79DC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pct"/>
          </w:tcPr>
          <w:p w14:paraId="68ADC0F8" w14:textId="1DADD4D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6CD0E400" w14:textId="567982A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Ambalaj ve Paketleme Yönetimi</w:t>
            </w:r>
          </w:p>
        </w:tc>
        <w:tc>
          <w:tcPr>
            <w:tcW w:w="2626" w:type="pct"/>
          </w:tcPr>
          <w:p w14:paraId="171F6D4D" w14:textId="45567E8E" w:rsidR="00AF513C" w:rsidRPr="00415124" w:rsidRDefault="00AF513C" w:rsidP="0041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124">
              <w:rPr>
                <w:rFonts w:ascii="Times New Roman" w:hAnsi="Times New Roman" w:cs="Times New Roman"/>
                <w:sz w:val="24"/>
                <w:szCs w:val="24"/>
              </w:rPr>
              <w:t>Ambalaj atıklarının azaltımı, geri kullanımı, geri dönüşümü; geri dönüştürülmüş içerikli ambalaj kullanımı, sürdürülebilir ambalaj ve paketlemeye yönelik etiketleme</w:t>
            </w:r>
            <w:r w:rsidR="00415124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64838720" w14:textId="2241DBA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3497EB41" w14:textId="24E3BBC8" w:rsidTr="0037757C">
        <w:trPr>
          <w:trHeight w:val="263"/>
        </w:trPr>
        <w:tc>
          <w:tcPr>
            <w:tcW w:w="237" w:type="pct"/>
          </w:tcPr>
          <w:p w14:paraId="360C9B46" w14:textId="679CE9F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14:paraId="6387DD70" w14:textId="10F22F4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6E46FE55" w14:textId="365A502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Su ve Atık Su Yönetimi</w:t>
            </w:r>
          </w:p>
        </w:tc>
        <w:tc>
          <w:tcPr>
            <w:tcW w:w="2626" w:type="pct"/>
          </w:tcPr>
          <w:p w14:paraId="420842F9" w14:textId="65183062" w:rsidR="00AF513C" w:rsidRPr="00C1309C" w:rsidRDefault="00AF513C" w:rsidP="0041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>Su tüketiminin azaltımı, atık suyun ölçülmesi, arıtımı ve yeninden kullanımı;</w:t>
            </w:r>
            <w:r w:rsidR="00415124"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>ağmur suyu ve gri su kullanımı</w:t>
            </w:r>
            <w:r w:rsidR="00415124" w:rsidRPr="00C1309C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>u ayak izinin hesaplanması</w:t>
            </w:r>
            <w:r w:rsidR="009F6BD6" w:rsidRPr="00C1309C">
              <w:rPr>
                <w:rFonts w:ascii="Times New Roman" w:hAnsi="Times New Roman" w:cs="Times New Roman"/>
                <w:sz w:val="24"/>
                <w:szCs w:val="24"/>
              </w:rPr>
              <w:t>, doğrulanması,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 rapo</w:t>
            </w:r>
            <w:r w:rsidR="009F6BD6" w:rsidRPr="00C1309C">
              <w:rPr>
                <w:rFonts w:ascii="Times New Roman" w:hAnsi="Times New Roman" w:cs="Times New Roman"/>
                <w:sz w:val="24"/>
                <w:szCs w:val="24"/>
              </w:rPr>
              <w:t>rlanması, takibi vb.</w:t>
            </w:r>
          </w:p>
          <w:p w14:paraId="4FA7A360" w14:textId="5394C69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E864B6D" w14:textId="6D336ACC" w:rsidTr="0037757C">
        <w:trPr>
          <w:trHeight w:val="263"/>
        </w:trPr>
        <w:tc>
          <w:tcPr>
            <w:tcW w:w="237" w:type="pct"/>
          </w:tcPr>
          <w:p w14:paraId="4A66728B" w14:textId="09C82FD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" w:type="pct"/>
          </w:tcPr>
          <w:p w14:paraId="446E5388" w14:textId="1CAD962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578759A1" w14:textId="2D821BA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İklim Değişikliği ve İklim Odaklı Riskler</w:t>
            </w:r>
          </w:p>
        </w:tc>
        <w:tc>
          <w:tcPr>
            <w:tcW w:w="2626" w:type="pct"/>
          </w:tcPr>
          <w:p w14:paraId="6EA265F9" w14:textId="2F2F4893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Karbon </w:t>
            </w:r>
            <w:r w:rsidR="00894FEE">
              <w:rPr>
                <w:rFonts w:ascii="Times New Roman" w:hAnsi="Times New Roman" w:cs="Times New Roman"/>
                <w:sz w:val="24"/>
                <w:szCs w:val="24"/>
              </w:rPr>
              <w:t xml:space="preserve">ayak 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izinin hesaplanması, </w:t>
            </w:r>
            <w:r w:rsidR="00DB7EAA" w:rsidRPr="00C1309C">
              <w:rPr>
                <w:rFonts w:ascii="Times New Roman" w:hAnsi="Times New Roman" w:cs="Times New Roman"/>
                <w:sz w:val="24"/>
                <w:szCs w:val="24"/>
              </w:rPr>
              <w:t>doğrulanması, raporlanması, takibi</w:t>
            </w:r>
            <w:r w:rsidR="00DB7E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7EAA"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>karbonsuzlaşma yol haritası, iklim odaklı risk yönetimi, Bilim Tabanlı Hedefler (SBTİ), emisyon ve emisyon yoğunluğu</w:t>
            </w:r>
            <w:r w:rsidR="002F3E76">
              <w:rPr>
                <w:rFonts w:ascii="Times New Roman" w:hAnsi="Times New Roman" w:cs="Times New Roman"/>
                <w:sz w:val="24"/>
                <w:szCs w:val="24"/>
              </w:rPr>
              <w:t>nun</w:t>
            </w:r>
            <w:r w:rsidRPr="00C1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azaltımı;</w:t>
            </w:r>
            <w:r w:rsidR="002F3E76"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 Sınırda Karbon Düzenleme Mekanizması, y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eşil </w:t>
            </w:r>
            <w:r w:rsidR="002F3E76" w:rsidRPr="002F3E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  <w:r w:rsidR="002F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6894F48A" w14:textId="7B9D8D31" w:rsidR="002F3E76" w:rsidRPr="00FA53F6" w:rsidRDefault="002F3E76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0B31A5A" w14:textId="357649A5" w:rsidTr="0037757C">
        <w:trPr>
          <w:trHeight w:val="252"/>
        </w:trPr>
        <w:tc>
          <w:tcPr>
            <w:tcW w:w="237" w:type="pct"/>
          </w:tcPr>
          <w:p w14:paraId="113F075B" w14:textId="5FE07B7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" w:type="pct"/>
          </w:tcPr>
          <w:p w14:paraId="67B982F8" w14:textId="57451B8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52E25A68" w14:textId="5B6B216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Temiz Teknolojiye Erişim</w:t>
            </w:r>
          </w:p>
        </w:tc>
        <w:tc>
          <w:tcPr>
            <w:tcW w:w="2626" w:type="pct"/>
          </w:tcPr>
          <w:p w14:paraId="4F7B0C30" w14:textId="0EE14156" w:rsidR="002F3E7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Karbon yakalama, depolama ve kullanma</w:t>
            </w:r>
            <w:r w:rsidR="002F3E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 yenilenebilir enerji, temiz enerji</w:t>
            </w:r>
            <w:r w:rsidR="002F3E76">
              <w:rPr>
                <w:rFonts w:ascii="Times New Roman" w:hAnsi="Times New Roman" w:cs="Times New Roman"/>
                <w:sz w:val="24"/>
                <w:szCs w:val="24"/>
              </w:rPr>
              <w:t>, temiz teknoloji vb.</w:t>
            </w:r>
          </w:p>
          <w:p w14:paraId="15F40DEB" w14:textId="530418F7" w:rsidR="002F3E76" w:rsidRPr="00FA53F6" w:rsidRDefault="002F3E76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59CCAE8" w14:textId="4EC6B514" w:rsidTr="0037757C">
        <w:trPr>
          <w:trHeight w:val="263"/>
        </w:trPr>
        <w:tc>
          <w:tcPr>
            <w:tcW w:w="237" w:type="pct"/>
          </w:tcPr>
          <w:p w14:paraId="2A3D5E00" w14:textId="41EE343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2" w:type="pct"/>
          </w:tcPr>
          <w:p w14:paraId="0325BCAC" w14:textId="3A09EFB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59C3BFAA" w14:textId="01BBB61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Ürün Yaşam Döngüsü</w:t>
            </w:r>
          </w:p>
        </w:tc>
        <w:tc>
          <w:tcPr>
            <w:tcW w:w="2626" w:type="pct"/>
          </w:tcPr>
          <w:p w14:paraId="33D43A1F" w14:textId="0C62D410" w:rsidR="00AF513C" w:rsidRPr="002F3E76" w:rsidRDefault="002F3E76" w:rsidP="002F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Ürünlerin çevresel etkilerinin ölçülmesi, takibi, raporlanması, azaltımı; y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>aşam döngüsü değerlendirme (YDD/LCA), değer zinciri analizi, çevresel ürün beyanı, eko-etiket;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>Dijital Ürün Pasaportu (DÜP/DPP)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, ç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evresel 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rün 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>eyanı</w:t>
            </w:r>
            <w:r w:rsidRPr="002F3E76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81DAFC2" w14:textId="466E2A0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FDEBA96" w14:textId="65EC8A1A" w:rsidTr="0037757C">
        <w:trPr>
          <w:trHeight w:val="263"/>
        </w:trPr>
        <w:tc>
          <w:tcPr>
            <w:tcW w:w="237" w:type="pct"/>
          </w:tcPr>
          <w:p w14:paraId="6FD3E199" w14:textId="6A55F89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" w:type="pct"/>
          </w:tcPr>
          <w:p w14:paraId="50E00DC2" w14:textId="0F4BF3C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</w:p>
        </w:tc>
        <w:tc>
          <w:tcPr>
            <w:tcW w:w="1485" w:type="pct"/>
          </w:tcPr>
          <w:p w14:paraId="3E7CABFC" w14:textId="356A33E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Enerji Yönetimi</w:t>
            </w:r>
          </w:p>
        </w:tc>
        <w:tc>
          <w:tcPr>
            <w:tcW w:w="2626" w:type="pct"/>
          </w:tcPr>
          <w:p w14:paraId="3FB5B155" w14:textId="77777777" w:rsidR="00AF513C" w:rsidRDefault="002F3E76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verimliliği, enerji yönetimi, t</w:t>
            </w:r>
            <w:r w:rsidR="00AF513C" w:rsidRPr="002F3E76">
              <w:rPr>
                <w:rFonts w:ascii="Times New Roman" w:hAnsi="Times New Roman" w:cs="Times New Roman"/>
                <w:sz w:val="24"/>
                <w:szCs w:val="24"/>
              </w:rPr>
              <w:t>esis ve süreç optimizasyonu, yenilenebilir enerji, sürdürülebilir enerji</w:t>
            </w:r>
            <w:r w:rsidR="006113FD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E7B057A" w14:textId="5A4AE526" w:rsidR="006113FD" w:rsidRPr="00FA53F6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28EA7F01" w14:textId="108DE0BB" w:rsidTr="0037757C">
        <w:trPr>
          <w:trHeight w:val="263"/>
        </w:trPr>
        <w:tc>
          <w:tcPr>
            <w:tcW w:w="237" w:type="pct"/>
          </w:tcPr>
          <w:p w14:paraId="61BFC227" w14:textId="441B857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14:paraId="268C5023" w14:textId="2E828F4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6FEB1751" w14:textId="4ECF9B8F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Kirlilik</w:t>
            </w:r>
          </w:p>
        </w:tc>
        <w:tc>
          <w:tcPr>
            <w:tcW w:w="2626" w:type="pct"/>
          </w:tcPr>
          <w:p w14:paraId="400F2C80" w14:textId="3762C189" w:rsidR="00AF513C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C32">
              <w:rPr>
                <w:rFonts w:ascii="Times New Roman" w:hAnsi="Times New Roman" w:cs="Times New Roman"/>
                <w:sz w:val="24"/>
                <w:szCs w:val="24"/>
              </w:rPr>
              <w:t>Kirlilik yönetimi (hava, su, toprak, gürültü, ışık, koku vb. kirliliği)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 xml:space="preserve">ikroplastik gibi kirlilik kaynaklarının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>ullanımının ve emisyonunun azaltımı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2DF31D62" w14:textId="3DE45FAB" w:rsidR="006113FD" w:rsidRPr="00FA53F6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193F08F" w14:textId="62BAFBF6" w:rsidTr="0037757C">
        <w:trPr>
          <w:trHeight w:val="263"/>
        </w:trPr>
        <w:tc>
          <w:tcPr>
            <w:tcW w:w="237" w:type="pct"/>
          </w:tcPr>
          <w:p w14:paraId="496B9F1C" w14:textId="7F19F60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" w:type="pct"/>
          </w:tcPr>
          <w:p w14:paraId="53ADBAD9" w14:textId="14883BD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4AE5EBCD" w14:textId="5A0B645F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Ham Madde Yönetimi</w:t>
            </w:r>
          </w:p>
        </w:tc>
        <w:tc>
          <w:tcPr>
            <w:tcW w:w="2626" w:type="pct"/>
          </w:tcPr>
          <w:p w14:paraId="49AF435E" w14:textId="169771EA" w:rsidR="00AF513C" w:rsidRPr="006113FD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 madde tedarik yönetimi, ç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>evresel faktörler, risk ve fırsat bazlı tedarik stratejisi; geri dönüştürülmüş ham madde ve sorumlu kaynak kullanımı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A60F185" w14:textId="26BC6C7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5BAEE3A" w14:textId="341E5D66" w:rsidTr="0037757C">
        <w:trPr>
          <w:trHeight w:val="263"/>
        </w:trPr>
        <w:tc>
          <w:tcPr>
            <w:tcW w:w="237" w:type="pct"/>
          </w:tcPr>
          <w:p w14:paraId="34C3C26D" w14:textId="710F595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14:paraId="2A0D9471" w14:textId="40C3DB6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6604804D" w14:textId="31BB67B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Biyoçeşitlilik ve Kaynak Yönetimi</w:t>
            </w:r>
          </w:p>
        </w:tc>
        <w:tc>
          <w:tcPr>
            <w:tcW w:w="2626" w:type="pct"/>
          </w:tcPr>
          <w:p w14:paraId="1B6536C4" w14:textId="576F4982" w:rsidR="00AF513C" w:rsidRPr="006113FD" w:rsidRDefault="006113FD" w:rsidP="0061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Biyoçeşitliliğin korunması, ormansızlaşmanın önlenmesi, ç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>evresel risk analizi, çevresel etki analizi, sosyal sorumluluk projelerinin geliştirilmesi, doğal kaynakların kontrollü tüketimi, deniz yaşamının ve doğal yaşamın korunması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Ormansızlaşmanın Önlenmesi Tüzüğü vb.</w:t>
            </w:r>
          </w:p>
          <w:p w14:paraId="0BF1E2FB" w14:textId="7BF6001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4B360EB" w14:textId="599D7140" w:rsidTr="006113FD">
        <w:trPr>
          <w:trHeight w:val="1170"/>
        </w:trPr>
        <w:tc>
          <w:tcPr>
            <w:tcW w:w="237" w:type="pct"/>
          </w:tcPr>
          <w:p w14:paraId="7763501D" w14:textId="42AA4A7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14:paraId="2FBDFED9" w14:textId="55068D3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</w:p>
        </w:tc>
        <w:tc>
          <w:tcPr>
            <w:tcW w:w="1485" w:type="pct"/>
          </w:tcPr>
          <w:p w14:paraId="26E6861A" w14:textId="20DAB3F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Kimyasal Güvenlik</w:t>
            </w:r>
          </w:p>
        </w:tc>
        <w:tc>
          <w:tcPr>
            <w:tcW w:w="2626" w:type="pct"/>
          </w:tcPr>
          <w:p w14:paraId="080E9BB0" w14:textId="69AD1AC6" w:rsidR="00AF513C" w:rsidRPr="00FA53F6" w:rsidRDefault="006113FD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Kimyasalların yönetimi, g</w:t>
            </w:r>
            <w:r w:rsidR="00AF513C" w:rsidRPr="006113FD">
              <w:rPr>
                <w:rFonts w:ascii="Times New Roman" w:hAnsi="Times New Roman" w:cs="Times New Roman"/>
                <w:sz w:val="24"/>
                <w:szCs w:val="24"/>
              </w:rPr>
              <w:t>üvenli ve sürdürülebilir kimyasal kullanımı, REACH, Sürdürülebilir Kimyasallar Stratejisi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</w:tc>
      </w:tr>
      <w:tr w:rsidR="00FA53F6" w:rsidRPr="00FA53F6" w14:paraId="0CC352E4" w14:textId="337776F2" w:rsidTr="0037757C">
        <w:trPr>
          <w:trHeight w:val="263"/>
        </w:trPr>
        <w:tc>
          <w:tcPr>
            <w:tcW w:w="237" w:type="pct"/>
          </w:tcPr>
          <w:p w14:paraId="3F9BEE58" w14:textId="2F1C616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" w:type="pct"/>
          </w:tcPr>
          <w:p w14:paraId="71279479" w14:textId="3805550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</w:p>
        </w:tc>
        <w:tc>
          <w:tcPr>
            <w:tcW w:w="1485" w:type="pct"/>
          </w:tcPr>
          <w:p w14:paraId="1677CB6A" w14:textId="169CC13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Çalışan Demografisi</w:t>
            </w:r>
          </w:p>
        </w:tc>
        <w:tc>
          <w:tcPr>
            <w:tcW w:w="2626" w:type="pct"/>
          </w:tcPr>
          <w:p w14:paraId="61C77BD0" w14:textId="2E9E9573" w:rsidR="00E36F38" w:rsidRPr="00FA53F6" w:rsidRDefault="00AF513C" w:rsidP="00E36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F38">
              <w:rPr>
                <w:rFonts w:ascii="Times New Roman" w:hAnsi="Times New Roman" w:cs="Times New Roman"/>
                <w:sz w:val="24"/>
                <w:szCs w:val="24"/>
              </w:rPr>
              <w:t xml:space="preserve">Demografik yapının belirlenmesi ve geliştirilmesi politikalarının oluşturulması, uygulanması ve </w:t>
            </w:r>
            <w:r w:rsidR="00E36F38">
              <w:rPr>
                <w:rFonts w:ascii="Times New Roman" w:hAnsi="Times New Roman" w:cs="Times New Roman"/>
                <w:sz w:val="24"/>
                <w:szCs w:val="24"/>
              </w:rPr>
              <w:t>takibi vb.</w:t>
            </w:r>
          </w:p>
          <w:p w14:paraId="091AEABF" w14:textId="038CFEB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0469DAFF" w14:textId="68AC6A24" w:rsidTr="0037757C">
        <w:trPr>
          <w:trHeight w:val="263"/>
        </w:trPr>
        <w:tc>
          <w:tcPr>
            <w:tcW w:w="237" w:type="pct"/>
          </w:tcPr>
          <w:p w14:paraId="747C89F6" w14:textId="5E0E440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" w:type="pct"/>
          </w:tcPr>
          <w:p w14:paraId="07E8C3A3" w14:textId="5C13890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07A5F30C" w14:textId="4255CFF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İstihdam ve Çalışma Koşulları</w:t>
            </w:r>
          </w:p>
        </w:tc>
        <w:tc>
          <w:tcPr>
            <w:tcW w:w="2626" w:type="pct"/>
          </w:tcPr>
          <w:p w14:paraId="0B551996" w14:textId="0F68BBB8" w:rsidR="00AF513C" w:rsidRDefault="00E36F38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koşullarının iyileştiri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mesi ve geliştirilmesi, a</w:t>
            </w:r>
            <w:r w:rsidR="00AF513C" w:rsidRPr="00E36F38">
              <w:rPr>
                <w:rFonts w:ascii="Times New Roman" w:hAnsi="Times New Roman" w:cs="Times New Roman"/>
                <w:sz w:val="24"/>
                <w:szCs w:val="24"/>
              </w:rPr>
              <w:t xml:space="preserve">dil ücretlendirme, insan kaynakları yönetimi, ücret yönetim sistemi, çalışan hakları, </w:t>
            </w:r>
            <w:r w:rsidR="00F44B5F" w:rsidRPr="00E36F38">
              <w:rPr>
                <w:rFonts w:ascii="Times New Roman" w:hAnsi="Times New Roman" w:cs="Times New Roman"/>
                <w:sz w:val="24"/>
                <w:szCs w:val="24"/>
              </w:rPr>
              <w:t>şikâyet</w:t>
            </w:r>
            <w:r w:rsidR="00AF513C" w:rsidRPr="00E36F38">
              <w:rPr>
                <w:rFonts w:ascii="Times New Roman" w:hAnsi="Times New Roman" w:cs="Times New Roman"/>
                <w:sz w:val="24"/>
                <w:szCs w:val="24"/>
              </w:rPr>
              <w:t xml:space="preserve"> yönetim sistemleri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3970CF3B" w14:textId="12DB0B6F" w:rsidR="00F44B5F" w:rsidRPr="00FA53F6" w:rsidRDefault="00F44B5F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C8E3DD6" w14:textId="37CAD058" w:rsidTr="0037757C">
        <w:trPr>
          <w:trHeight w:val="263"/>
        </w:trPr>
        <w:tc>
          <w:tcPr>
            <w:tcW w:w="237" w:type="pct"/>
          </w:tcPr>
          <w:p w14:paraId="7FAFFB94" w14:textId="36CBC6B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" w:type="pct"/>
          </w:tcPr>
          <w:p w14:paraId="4B37EFBF" w14:textId="68C599F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</w:p>
        </w:tc>
        <w:tc>
          <w:tcPr>
            <w:tcW w:w="1485" w:type="pct"/>
          </w:tcPr>
          <w:p w14:paraId="3BF54CC0" w14:textId="0E01A9E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Eşitlik, Çeşitlilik ve Kapsayıcılık</w:t>
            </w:r>
          </w:p>
        </w:tc>
        <w:tc>
          <w:tcPr>
            <w:tcW w:w="2626" w:type="pct"/>
          </w:tcPr>
          <w:p w14:paraId="033EC19F" w14:textId="0FB1809F" w:rsidR="00AF513C" w:rsidRPr="00F44B5F" w:rsidRDefault="00AF513C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 xml:space="preserve">Fırsat eşitliği, dezavantajlı gruplar, pozitif 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>yrımcılık, işe alım politikaları, adil ücretlendirme, insan kaynakları yönetimi, ücret</w:t>
            </w:r>
          </w:p>
          <w:p w14:paraId="204F873C" w14:textId="7FEC68F8" w:rsidR="00AF513C" w:rsidRPr="00F44B5F" w:rsidRDefault="00F44B5F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F513C" w:rsidRPr="00F44B5F">
              <w:rPr>
                <w:rFonts w:ascii="Times New Roman" w:hAnsi="Times New Roman" w:cs="Times New Roman"/>
                <w:sz w:val="24"/>
                <w:szCs w:val="24"/>
              </w:rPr>
              <w:t>önetim sistemi, çalışan hakları, şikayet yönetim sistemleri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7AA78580" w14:textId="2B83E26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146A214" w14:textId="07B96EEC" w:rsidTr="0037757C">
        <w:trPr>
          <w:trHeight w:val="263"/>
        </w:trPr>
        <w:tc>
          <w:tcPr>
            <w:tcW w:w="237" w:type="pct"/>
          </w:tcPr>
          <w:p w14:paraId="24197149" w14:textId="2BFEE6BF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" w:type="pct"/>
          </w:tcPr>
          <w:p w14:paraId="07E8DA50" w14:textId="1D536A1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0B0BDDBF" w14:textId="737EE99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Çalışan Sağlığı ve Güvenliği</w:t>
            </w:r>
          </w:p>
        </w:tc>
        <w:tc>
          <w:tcPr>
            <w:tcW w:w="2626" w:type="pct"/>
          </w:tcPr>
          <w:p w14:paraId="09F8D9E2" w14:textId="77777777" w:rsidR="00AF513C" w:rsidRDefault="00AF513C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>İş sağlığı ve güvenliği yönetimi, kazaların önlenmesi, Kaizen, kök neden, yangın yönetimi, iş yeri ortam ölçümleri, acil durum eylem planları, ekipman yönetim sistemi, kalite yönetim sistemleri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6FE10B1B" w14:textId="3030B4FA" w:rsidR="00F44B5F" w:rsidRPr="00FA53F6" w:rsidRDefault="00F44B5F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3680863" w14:textId="2773ED91" w:rsidTr="0037757C">
        <w:trPr>
          <w:trHeight w:val="263"/>
        </w:trPr>
        <w:tc>
          <w:tcPr>
            <w:tcW w:w="237" w:type="pct"/>
          </w:tcPr>
          <w:p w14:paraId="678F73B5" w14:textId="72023C4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52" w:type="pct"/>
          </w:tcPr>
          <w:p w14:paraId="24C1F592" w14:textId="7F1BC63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3FF6A014" w14:textId="02A00B5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İnsan Hakları ve Toplumsal İlişkiler</w:t>
            </w:r>
          </w:p>
        </w:tc>
        <w:tc>
          <w:tcPr>
            <w:tcW w:w="2626" w:type="pct"/>
          </w:tcPr>
          <w:p w14:paraId="38A61C54" w14:textId="47181F88" w:rsidR="00AF513C" w:rsidRPr="00F44B5F" w:rsidRDefault="00AF513C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>İşçi hakları yönetimi, ayrımcılığa karşı politikalar, sosyal sürdürülebilirlik, sosyal sorumluluk projeleri, tedarik zinciri çalışma şartlarının takibi ve iyileştirmesi, insana yakışır çalışma şartlarının oluşturulması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256D96BD" w14:textId="037E816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E3949C1" w14:textId="783C99F0" w:rsidTr="0037757C">
        <w:trPr>
          <w:trHeight w:val="252"/>
        </w:trPr>
        <w:tc>
          <w:tcPr>
            <w:tcW w:w="237" w:type="pct"/>
          </w:tcPr>
          <w:p w14:paraId="6F8B71D5" w14:textId="7DD8A68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" w:type="pct"/>
          </w:tcPr>
          <w:p w14:paraId="4F6C4E65" w14:textId="0556D73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</w:p>
        </w:tc>
        <w:tc>
          <w:tcPr>
            <w:tcW w:w="1485" w:type="pct"/>
          </w:tcPr>
          <w:p w14:paraId="09084B31" w14:textId="41C2075E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Sağlık Hizmetlerine Erişim </w:t>
            </w:r>
          </w:p>
        </w:tc>
        <w:tc>
          <w:tcPr>
            <w:tcW w:w="2626" w:type="pct"/>
          </w:tcPr>
          <w:p w14:paraId="308AC05F" w14:textId="77777777" w:rsidR="00AF513C" w:rsidRDefault="00AF513C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B5F">
              <w:rPr>
                <w:rFonts w:ascii="Times New Roman" w:hAnsi="Times New Roman" w:cs="Times New Roman"/>
                <w:sz w:val="24"/>
                <w:szCs w:val="24"/>
              </w:rPr>
              <w:t>Gelişmekte olan ve yetersiz hizmet alan ülke pazarlarında sağlık hizmetinin sunulması, sosyal yardım projelerinin geliştirilmesi, indirimli fiyat uygulaması</w:t>
            </w:r>
            <w:r w:rsidR="00F4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47EA7EC1" w14:textId="13A87338" w:rsidR="00F44B5F" w:rsidRPr="00FA53F6" w:rsidRDefault="00F44B5F" w:rsidP="00F44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EDDDE2E" w14:textId="77777777" w:rsidTr="0037757C">
        <w:trPr>
          <w:trHeight w:val="252"/>
        </w:trPr>
        <w:tc>
          <w:tcPr>
            <w:tcW w:w="237" w:type="pct"/>
          </w:tcPr>
          <w:p w14:paraId="14C680B1" w14:textId="29760F9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" w:type="pct"/>
          </w:tcPr>
          <w:p w14:paraId="1E43B189" w14:textId="7161C133" w:rsidR="00AF513C" w:rsidRPr="008F11BA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</w:p>
        </w:tc>
        <w:tc>
          <w:tcPr>
            <w:tcW w:w="1485" w:type="pct"/>
          </w:tcPr>
          <w:p w14:paraId="25FEA731" w14:textId="2E27A3C2" w:rsidR="00AF513C" w:rsidRPr="008F11BA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Ürün ve Hizmetlerin Erişilebilirliği</w:t>
            </w:r>
          </w:p>
        </w:tc>
        <w:tc>
          <w:tcPr>
            <w:tcW w:w="2626" w:type="pct"/>
          </w:tcPr>
          <w:p w14:paraId="3FE5647F" w14:textId="5512C893" w:rsidR="008F11BA" w:rsidRPr="008F11BA" w:rsidRDefault="008F11BA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Ürün güvenliği, gıda güvenilirliği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hayvan sağlığı</w:t>
            </w: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560D526" w14:textId="4AE6BE94" w:rsidR="00AF513C" w:rsidRPr="008F11BA" w:rsidRDefault="00AF513C" w:rsidP="00D42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1280826" w14:textId="0A0D819E" w:rsidTr="0037757C">
        <w:trPr>
          <w:trHeight w:val="263"/>
        </w:trPr>
        <w:tc>
          <w:tcPr>
            <w:tcW w:w="237" w:type="pct"/>
          </w:tcPr>
          <w:p w14:paraId="78A45BE0" w14:textId="31411C6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" w:type="pct"/>
          </w:tcPr>
          <w:p w14:paraId="7C0A252E" w14:textId="539AE73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2C41535E" w14:textId="508350B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Ürün Sağlığı, Kalitesi ve Güven</w:t>
            </w:r>
          </w:p>
        </w:tc>
        <w:tc>
          <w:tcPr>
            <w:tcW w:w="2626" w:type="pct"/>
          </w:tcPr>
          <w:p w14:paraId="68F8DF32" w14:textId="77777777" w:rsidR="00AF513C" w:rsidRPr="008F11BA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Ulusal/uluslararası standartlara uygunluk, ürün güvenliği testleri, kalite yönetim sistemi;</w:t>
            </w:r>
          </w:p>
          <w:p w14:paraId="17901436" w14:textId="77777777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43323329" w14:textId="094D99F6" w:rsidR="008F11BA" w:rsidRPr="00FA53F6" w:rsidRDefault="008F11BA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DA7F793" w14:textId="77E17E8A" w:rsidTr="0037757C">
        <w:trPr>
          <w:trHeight w:val="263"/>
        </w:trPr>
        <w:tc>
          <w:tcPr>
            <w:tcW w:w="237" w:type="pct"/>
          </w:tcPr>
          <w:p w14:paraId="5A553982" w14:textId="29EA66C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" w:type="pct"/>
          </w:tcPr>
          <w:p w14:paraId="4613B80A" w14:textId="5465A41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7D8836B7" w14:textId="5FEEB72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Sorumlu Pazarlama ve Etiketleme</w:t>
            </w:r>
          </w:p>
        </w:tc>
        <w:tc>
          <w:tcPr>
            <w:tcW w:w="2626" w:type="pct"/>
          </w:tcPr>
          <w:p w14:paraId="20C05B63" w14:textId="70412B8A" w:rsidR="00AF513C" w:rsidRPr="00FA53F6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 xml:space="preserve">Ürünün çevresel etkileri, tedariği, güvenli kullanımı ve imhası hakkında etiketleme, geri bildirim mekanizmaları, müşteri </w:t>
            </w:r>
            <w:r w:rsidR="008F11BA" w:rsidRPr="008F11BA">
              <w:rPr>
                <w:rFonts w:ascii="Times New Roman" w:hAnsi="Times New Roman" w:cs="Times New Roman"/>
                <w:sz w:val="24"/>
                <w:szCs w:val="24"/>
              </w:rPr>
              <w:t>şikâyet</w:t>
            </w: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 xml:space="preserve"> yönetimi, sürdürülebilir pazarlama stratejisi</w:t>
            </w:r>
            <w:r w:rsidR="008F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</w:tc>
      </w:tr>
      <w:tr w:rsidR="00FA53F6" w:rsidRPr="00FA53F6" w14:paraId="43301499" w14:textId="0E7EA422" w:rsidTr="0037757C">
        <w:trPr>
          <w:trHeight w:val="263"/>
        </w:trPr>
        <w:tc>
          <w:tcPr>
            <w:tcW w:w="237" w:type="pct"/>
          </w:tcPr>
          <w:p w14:paraId="23288BCE" w14:textId="2075498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" w:type="pct"/>
          </w:tcPr>
          <w:p w14:paraId="1F0E7973" w14:textId="128C15AF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0955FF4E" w14:textId="3E8D3E0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Tedarik Zinciri Çalışma Koşulları</w:t>
            </w:r>
          </w:p>
        </w:tc>
        <w:tc>
          <w:tcPr>
            <w:tcW w:w="2626" w:type="pct"/>
          </w:tcPr>
          <w:p w14:paraId="6785CDBE" w14:textId="51746BE2" w:rsidR="00AF513C" w:rsidRPr="008F11BA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Tedarik zinciri çalışma şartlarının takibi ve iyileştirmesi, insana yakışır çalışma şartlarının oluşturulması, sosyal uygunluk denetimleri;</w:t>
            </w:r>
          </w:p>
          <w:p w14:paraId="706DA522" w14:textId="77777777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2B6B648D" w14:textId="45170811" w:rsidR="008F11BA" w:rsidRPr="00FA53F6" w:rsidRDefault="008F11BA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91EDC9C" w14:textId="51FD318A" w:rsidTr="0037757C">
        <w:trPr>
          <w:trHeight w:val="263"/>
        </w:trPr>
        <w:tc>
          <w:tcPr>
            <w:tcW w:w="237" w:type="pct"/>
          </w:tcPr>
          <w:p w14:paraId="31FE455D" w14:textId="4E921E6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" w:type="pct"/>
          </w:tcPr>
          <w:p w14:paraId="71AA7693" w14:textId="65881E4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Sosyal </w:t>
            </w:r>
          </w:p>
        </w:tc>
        <w:tc>
          <w:tcPr>
            <w:tcW w:w="1485" w:type="pct"/>
          </w:tcPr>
          <w:p w14:paraId="3393D353" w14:textId="3BE5753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Hayvan Refahı</w:t>
            </w:r>
          </w:p>
        </w:tc>
        <w:tc>
          <w:tcPr>
            <w:tcW w:w="2626" w:type="pct"/>
          </w:tcPr>
          <w:p w14:paraId="0A554A62" w14:textId="193B8048" w:rsidR="00AF513C" w:rsidRPr="008F11BA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Hayvan refahı ve hakları, yaşam alanlarının korunması, hayvan sağlığı ve bakımı;</w:t>
            </w:r>
          </w:p>
          <w:p w14:paraId="6A525B79" w14:textId="77777777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79625D70" w14:textId="3B4A2EF2" w:rsidR="008F11BA" w:rsidRPr="00FA53F6" w:rsidRDefault="008F11BA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8532968" w14:textId="4DA77784" w:rsidTr="0037757C">
        <w:trPr>
          <w:trHeight w:val="252"/>
        </w:trPr>
        <w:tc>
          <w:tcPr>
            <w:tcW w:w="237" w:type="pct"/>
          </w:tcPr>
          <w:p w14:paraId="5EDE453D" w14:textId="56A519E7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" w:type="pct"/>
          </w:tcPr>
          <w:p w14:paraId="4002351F" w14:textId="02B7C3C6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Yönetişim </w:t>
            </w:r>
          </w:p>
        </w:tc>
        <w:tc>
          <w:tcPr>
            <w:tcW w:w="1485" w:type="pct"/>
          </w:tcPr>
          <w:p w14:paraId="2FBCC80B" w14:textId="282EA79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Genel Yönetişim Anlayışı</w:t>
            </w:r>
          </w:p>
        </w:tc>
        <w:tc>
          <w:tcPr>
            <w:tcW w:w="2626" w:type="pct"/>
          </w:tcPr>
          <w:p w14:paraId="594E0529" w14:textId="77777777" w:rsidR="00AF513C" w:rsidRDefault="00AF513C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1BA">
              <w:rPr>
                <w:rFonts w:ascii="Times New Roman" w:hAnsi="Times New Roman" w:cs="Times New Roman"/>
                <w:sz w:val="24"/>
                <w:szCs w:val="24"/>
              </w:rPr>
              <w:t>Sürdürülebilirlik raporlaması ve doğrulaması, finansal raporlama ve doğrulama, sürdürülebilir finansmana erişim, sürdürülebilirlik odaklı iş modeli, mevcut iş modelinin sürdürülebilir hale getirilmesi</w:t>
            </w:r>
            <w:r w:rsidR="008F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2CA0D719" w14:textId="37526BF0" w:rsidR="008F11BA" w:rsidRPr="00FA53F6" w:rsidRDefault="008F11BA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993A6E9" w14:textId="3168B33F" w:rsidTr="0037757C">
        <w:trPr>
          <w:trHeight w:val="510"/>
        </w:trPr>
        <w:tc>
          <w:tcPr>
            <w:tcW w:w="237" w:type="pct"/>
          </w:tcPr>
          <w:p w14:paraId="4A8609E2" w14:textId="16DF8D82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" w:type="pct"/>
          </w:tcPr>
          <w:p w14:paraId="29686BB3" w14:textId="10132BD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25F881AE" w14:textId="2AE8B26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Kurumsal Yönetişim ve Sürdürülebilirlik Yönetişimi</w:t>
            </w:r>
          </w:p>
        </w:tc>
        <w:tc>
          <w:tcPr>
            <w:tcW w:w="2626" w:type="pct"/>
          </w:tcPr>
          <w:p w14:paraId="77B9A753" w14:textId="01770A9A" w:rsidR="00AF513C" w:rsidRDefault="00C30BAE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Sürdürülebilir kurumsal yönetişim, s</w:t>
            </w:r>
            <w:r w:rsidR="00AF513C" w:rsidRPr="008F11BA">
              <w:rPr>
                <w:rFonts w:ascii="Times New Roman" w:hAnsi="Times New Roman" w:cs="Times New Roman"/>
                <w:sz w:val="24"/>
                <w:szCs w:val="24"/>
              </w:rPr>
              <w:t xml:space="preserve">ürdürülebilir kurumsal kapasitenin geliştirilmesi, </w:t>
            </w:r>
            <w:r w:rsidR="00B411C1">
              <w:rPr>
                <w:rFonts w:ascii="Times New Roman" w:hAnsi="Times New Roman" w:cs="Times New Roman"/>
                <w:sz w:val="24"/>
                <w:szCs w:val="24"/>
              </w:rPr>
              <w:t xml:space="preserve">sürdürülebilirlik stratejilerinin oluşturulması, </w:t>
            </w:r>
            <w:r w:rsidR="00AF513C" w:rsidRPr="008F11BA">
              <w:rPr>
                <w:rFonts w:ascii="Times New Roman" w:hAnsi="Times New Roman" w:cs="Times New Roman"/>
                <w:sz w:val="24"/>
                <w:szCs w:val="24"/>
              </w:rPr>
              <w:t>ESG puanlama sistemleri, sürdürülebilirlik mevcut durum analizi, kurumsal sürdürülebilirlik seviyesinin tespiti ve raporlanması, kurumsal sürdürülebilirlik stratejisi</w:t>
            </w:r>
            <w:r w:rsidR="008F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18B15793" w14:textId="0EBBC958" w:rsidR="008F11BA" w:rsidRPr="00FA53F6" w:rsidRDefault="008F11BA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5D266C1" w14:textId="66795427" w:rsidTr="0037757C">
        <w:trPr>
          <w:trHeight w:val="263"/>
        </w:trPr>
        <w:tc>
          <w:tcPr>
            <w:tcW w:w="237" w:type="pct"/>
          </w:tcPr>
          <w:p w14:paraId="1B7A211A" w14:textId="19447ED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" w:type="pct"/>
          </w:tcPr>
          <w:p w14:paraId="4077030C" w14:textId="13360C1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30BCCB5C" w14:textId="11F244D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Tedarik Zinciri Yönetimi</w:t>
            </w:r>
          </w:p>
        </w:tc>
        <w:tc>
          <w:tcPr>
            <w:tcW w:w="2626" w:type="pct"/>
          </w:tcPr>
          <w:p w14:paraId="4A775533" w14:textId="5BDC80A3" w:rsidR="00AF513C" w:rsidRDefault="00B411C1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Tedarik zinciri takip ve yönetimi, s</w:t>
            </w:r>
            <w:r w:rsidR="00AF513C" w:rsidRPr="008F11BA">
              <w:rPr>
                <w:rFonts w:ascii="Times New Roman" w:hAnsi="Times New Roman" w:cs="Times New Roman"/>
                <w:sz w:val="24"/>
                <w:szCs w:val="24"/>
              </w:rPr>
              <w:t>ürdürülebilir satın alma, sürdürülebilir tedarik zinciri ve kaynak verimliliği, tedarik zincirinin risk bazlı tanımlanması, tedarikçilerin uygunluk denetimi</w:t>
            </w:r>
            <w:r w:rsidR="008F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579E4D62" w14:textId="286E60E3" w:rsidR="008F11BA" w:rsidRPr="00FA53F6" w:rsidRDefault="008F11BA" w:rsidP="008F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7294B13" w14:textId="6F0B940C" w:rsidTr="0037757C">
        <w:trPr>
          <w:trHeight w:val="263"/>
        </w:trPr>
        <w:tc>
          <w:tcPr>
            <w:tcW w:w="237" w:type="pct"/>
          </w:tcPr>
          <w:p w14:paraId="44B1BD44" w14:textId="73C36E1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" w:type="pct"/>
          </w:tcPr>
          <w:p w14:paraId="03BCEE42" w14:textId="3754A103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020CFBEC" w14:textId="4839F921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İş Etiği ve Davranış Kuralları</w:t>
            </w:r>
          </w:p>
        </w:tc>
        <w:tc>
          <w:tcPr>
            <w:tcW w:w="2626" w:type="pct"/>
          </w:tcPr>
          <w:p w14:paraId="536BE5A2" w14:textId="1240D2C5" w:rsidR="00AF513C" w:rsidRDefault="00B411C1" w:rsidP="00B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 hattı, e</w:t>
            </w:r>
            <w:r w:rsidR="00AF513C" w:rsidRPr="00B411C1">
              <w:rPr>
                <w:rFonts w:ascii="Times New Roman" w:hAnsi="Times New Roman" w:cs="Times New Roman"/>
                <w:sz w:val="24"/>
                <w:szCs w:val="24"/>
              </w:rPr>
              <w:t xml:space="preserve">tik davranış politikalarının oluşturulması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</w:p>
          <w:p w14:paraId="2A3B7C55" w14:textId="5AE44853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A53925A" w14:textId="471D98FA" w:rsidTr="0037757C">
        <w:trPr>
          <w:trHeight w:val="263"/>
        </w:trPr>
        <w:tc>
          <w:tcPr>
            <w:tcW w:w="237" w:type="pct"/>
          </w:tcPr>
          <w:p w14:paraId="0996E739" w14:textId="2B63AD6B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52" w:type="pct"/>
          </w:tcPr>
          <w:p w14:paraId="1631F68B" w14:textId="71B6B6F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Yönetişim </w:t>
            </w:r>
          </w:p>
        </w:tc>
        <w:tc>
          <w:tcPr>
            <w:tcW w:w="1485" w:type="pct"/>
          </w:tcPr>
          <w:p w14:paraId="15CBE66D" w14:textId="5D611F3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Vergi Şeffaflığı</w:t>
            </w:r>
          </w:p>
        </w:tc>
        <w:tc>
          <w:tcPr>
            <w:tcW w:w="2626" w:type="pct"/>
          </w:tcPr>
          <w:p w14:paraId="2E6F9AE0" w14:textId="42F62C33" w:rsidR="00AF513C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Vergi politikasının kamuyla paylaşımı, k</w:t>
            </w:r>
            <w:r w:rsidR="00AF513C" w:rsidRPr="00B411C1">
              <w:rPr>
                <w:rFonts w:ascii="Times New Roman" w:hAnsi="Times New Roman" w:cs="Times New Roman"/>
                <w:sz w:val="24"/>
                <w:szCs w:val="24"/>
              </w:rPr>
              <w:t>arbon vergisi stratejisinin oluşturulması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13C"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55828F54" w14:textId="4BA2ECF9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30B74A33" w14:textId="0CC1618F" w:rsidTr="0037757C">
        <w:trPr>
          <w:trHeight w:val="263"/>
        </w:trPr>
        <w:tc>
          <w:tcPr>
            <w:tcW w:w="237" w:type="pct"/>
          </w:tcPr>
          <w:p w14:paraId="624ABEA4" w14:textId="2A00B0E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" w:type="pct"/>
          </w:tcPr>
          <w:p w14:paraId="03226DBA" w14:textId="7D312AFA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5AD822AE" w14:textId="4556725C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Kurumsal Risk Yönetimi ve İç Kontrol</w:t>
            </w:r>
          </w:p>
        </w:tc>
        <w:tc>
          <w:tcPr>
            <w:tcW w:w="2626" w:type="pct"/>
          </w:tcPr>
          <w:p w14:paraId="6FA45A68" w14:textId="23AEA6AF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 xml:space="preserve">Kurumsal risk </w:t>
            </w:r>
            <w:r w:rsidR="00B411C1" w:rsidRPr="00B411C1">
              <w:rPr>
                <w:rFonts w:ascii="Times New Roman" w:hAnsi="Times New Roman" w:cs="Times New Roman"/>
                <w:sz w:val="24"/>
                <w:szCs w:val="24"/>
              </w:rPr>
              <w:t>yönetimi,</w:t>
            </w:r>
            <w:r w:rsidR="00B411C1">
              <w:rPr>
                <w:rFonts w:ascii="Times New Roman" w:hAnsi="Times New Roman" w:cs="Times New Roman"/>
                <w:sz w:val="24"/>
                <w:szCs w:val="24"/>
              </w:rPr>
              <w:t xml:space="preserve"> standartların takibi ve yönetilmesi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71C86ED5" w14:textId="49C68396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DF0EBCE" w14:textId="3150D0F3" w:rsidTr="0037757C">
        <w:trPr>
          <w:trHeight w:val="252"/>
        </w:trPr>
        <w:tc>
          <w:tcPr>
            <w:tcW w:w="237" w:type="pct"/>
          </w:tcPr>
          <w:p w14:paraId="253A0621" w14:textId="77901969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" w:type="pct"/>
          </w:tcPr>
          <w:p w14:paraId="02A660F8" w14:textId="6880834D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Yönetişim</w:t>
            </w:r>
          </w:p>
        </w:tc>
        <w:tc>
          <w:tcPr>
            <w:tcW w:w="1485" w:type="pct"/>
          </w:tcPr>
          <w:p w14:paraId="43E2C6C9" w14:textId="373F2930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Veri Güvenliği ve Gizlilik</w:t>
            </w:r>
          </w:p>
        </w:tc>
        <w:tc>
          <w:tcPr>
            <w:tcW w:w="2626" w:type="pct"/>
          </w:tcPr>
          <w:p w14:paraId="34B892B1" w14:textId="77777777" w:rsidR="00B411C1" w:rsidRDefault="00AF513C" w:rsidP="00B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 xml:space="preserve">Bilişim teknolojileri yönetimi, bilgi güvenliği yönetimi, Kişisel Verilerin Korunması Kanunu (KVKK) gereklilikleri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</w:p>
          <w:p w14:paraId="046CBF97" w14:textId="1E797635" w:rsidR="00AF513C" w:rsidRPr="00FA53F6" w:rsidRDefault="00AF513C" w:rsidP="00B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3F6" w:rsidRPr="00FA53F6" w14:paraId="5FB22795" w14:textId="5AFEB801" w:rsidTr="0037757C">
        <w:trPr>
          <w:trHeight w:val="263"/>
        </w:trPr>
        <w:tc>
          <w:tcPr>
            <w:tcW w:w="237" w:type="pct"/>
          </w:tcPr>
          <w:p w14:paraId="1B3E7FAE" w14:textId="6E2BBC84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" w:type="pct"/>
          </w:tcPr>
          <w:p w14:paraId="4E932610" w14:textId="3E09DBB5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Yönetişim </w:t>
            </w:r>
          </w:p>
        </w:tc>
        <w:tc>
          <w:tcPr>
            <w:tcW w:w="1485" w:type="pct"/>
          </w:tcPr>
          <w:p w14:paraId="7E2800C3" w14:textId="0267F64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Dijitalleşme</w:t>
            </w:r>
          </w:p>
        </w:tc>
        <w:tc>
          <w:tcPr>
            <w:tcW w:w="2626" w:type="pct"/>
          </w:tcPr>
          <w:p w14:paraId="1CFF5340" w14:textId="199DAA51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>Dijital dönüşüm ihtiyacının belirlenmesi, takip edilebilirlik</w:t>
            </w:r>
            <w:r w:rsidR="00B411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 xml:space="preserve"> izlenebilirlik</w:t>
            </w:r>
            <w:r w:rsidR="00B4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78E5E862" w14:textId="61F57C5D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5561C55A" w14:textId="2710F8A1" w:rsidTr="0037757C">
        <w:trPr>
          <w:trHeight w:val="263"/>
        </w:trPr>
        <w:tc>
          <w:tcPr>
            <w:tcW w:w="237" w:type="pct"/>
          </w:tcPr>
          <w:p w14:paraId="0372CB3C" w14:textId="5DBD831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" w:type="pct"/>
          </w:tcPr>
          <w:p w14:paraId="50A56AF3" w14:textId="47B4F048" w:rsidR="00AF513C" w:rsidRPr="00FA53F6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</w:p>
        </w:tc>
        <w:tc>
          <w:tcPr>
            <w:tcW w:w="1485" w:type="pct"/>
          </w:tcPr>
          <w:p w14:paraId="7504D4B9" w14:textId="71FEABE9" w:rsidR="00AF513C" w:rsidRPr="00FA53F6" w:rsidRDefault="00AF513C" w:rsidP="00AF513C">
            <w:pPr>
              <w:pStyle w:val="Default"/>
              <w:rPr>
                <w:color w:val="auto"/>
              </w:rPr>
            </w:pPr>
            <w:r w:rsidRPr="00FA53F6">
              <w:rPr>
                <w:color w:val="auto"/>
              </w:rPr>
              <w:t xml:space="preserve">AB Mevzuatının ve Sürdürülebilirlikle İlgili Sektörel Gelişmelerin Takibine </w:t>
            </w:r>
          </w:p>
        </w:tc>
        <w:tc>
          <w:tcPr>
            <w:tcW w:w="2626" w:type="pct"/>
          </w:tcPr>
          <w:p w14:paraId="3017C800" w14:textId="77777777" w:rsidR="00AF513C" w:rsidRPr="00B411C1" w:rsidRDefault="00AF513C" w:rsidP="00B4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C1">
              <w:rPr>
                <w:rFonts w:ascii="Times New Roman" w:hAnsi="Times New Roman" w:cs="Times New Roman"/>
                <w:sz w:val="24"/>
                <w:szCs w:val="24"/>
              </w:rPr>
              <w:t>AB Yeşil Mutabakatı ile ilgili ulusal ve uluslararası mevzuata ve müşteri taleplerine yönelik gerekliliklere uyum sağlanması</w:t>
            </w:r>
          </w:p>
          <w:p w14:paraId="087C6F0E" w14:textId="77777777" w:rsidR="00AF513C" w:rsidRDefault="00AF513C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</w:p>
          <w:p w14:paraId="511F0A3C" w14:textId="60ED25AE" w:rsidR="00B411C1" w:rsidRPr="00FA53F6" w:rsidRDefault="00B411C1" w:rsidP="00AF5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7E4F6" w14:textId="77777777" w:rsidR="00FB3209" w:rsidRPr="00FA53F6" w:rsidRDefault="00FB3209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E8297" w14:textId="77777777" w:rsidR="00B8041B" w:rsidRDefault="00B8041B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3C585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62517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C7537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BC341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C25AD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60A5B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5C366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AA676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4B288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65045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F60D1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B6F19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E77B9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8C4CA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B8564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1FE63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02061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4F14E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19E58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88B6C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A7C63" w14:textId="77777777" w:rsidR="002D0160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C00EE" w14:textId="77777777" w:rsidR="002D0160" w:rsidRPr="00FA53F6" w:rsidRDefault="002D0160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8B090" w14:textId="77777777" w:rsidR="00B8041B" w:rsidRPr="00FA53F6" w:rsidRDefault="00B8041B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A4FA3" w14:textId="77777777" w:rsidR="00AF513C" w:rsidRPr="00FA53F6" w:rsidRDefault="00AF513C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EC116" w14:textId="77777777" w:rsidR="00AF513C" w:rsidRPr="00FA53F6" w:rsidRDefault="00AF513C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73572" w14:textId="77777777" w:rsidR="00AF513C" w:rsidRDefault="00AF513C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19E46" w14:textId="77777777" w:rsidR="00E46D12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F26A1" w14:textId="77777777" w:rsidR="00E46D12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992F5" w14:textId="77777777" w:rsidR="00E46D12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EAF3F" w14:textId="77777777" w:rsidR="00E46D12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BB3AA" w14:textId="77777777" w:rsidR="00E46D12" w:rsidRPr="00FA53F6" w:rsidRDefault="00E46D12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B5CC5" w14:textId="77777777" w:rsidR="00B8041B" w:rsidRPr="00FA53F6" w:rsidRDefault="00B8041B" w:rsidP="00D8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90"/>
        <w:gridCol w:w="2466"/>
        <w:gridCol w:w="6371"/>
      </w:tblGrid>
      <w:tr w:rsidR="00FA53F6" w:rsidRPr="00FA53F6" w14:paraId="727A6CF4" w14:textId="77777777" w:rsidTr="00334E22">
        <w:trPr>
          <w:trHeight w:val="434"/>
        </w:trPr>
        <w:tc>
          <w:tcPr>
            <w:tcW w:w="5000" w:type="pct"/>
            <w:gridSpan w:val="3"/>
          </w:tcPr>
          <w:p w14:paraId="2516B069" w14:textId="3C5F246D" w:rsidR="00AF513C" w:rsidRPr="00FA53F6" w:rsidRDefault="00AF513C" w:rsidP="00AF5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 SÜRDÜRÜLEBİLİRLİK VE BİLİŞİM DANIŞMANLIĞI</w:t>
            </w:r>
          </w:p>
        </w:tc>
      </w:tr>
      <w:tr w:rsidR="002D0160" w:rsidRPr="00FA53F6" w14:paraId="55928E30" w14:textId="77777777" w:rsidTr="00334E22">
        <w:trPr>
          <w:trHeight w:val="434"/>
        </w:trPr>
        <w:tc>
          <w:tcPr>
            <w:tcW w:w="5000" w:type="pct"/>
            <w:gridSpan w:val="3"/>
          </w:tcPr>
          <w:p w14:paraId="62F691B8" w14:textId="77777777" w:rsidR="00EB55CE" w:rsidRDefault="00EB55CE" w:rsidP="002D01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813627" w14:textId="1A98620F" w:rsidR="002D0160" w:rsidRDefault="002D0160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 Sürdürülebilirlik ve Bilişim Danışmanlığı tablosunda “Kapsam” sütununda belirtilen konulara ilişkin;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yazılım, lisans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bakım onarım ve güncelleme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e danışmanlık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 ve harcamaları desteklenebilir.</w:t>
            </w:r>
          </w:p>
          <w:p w14:paraId="66E1A4F5" w14:textId="77777777" w:rsidR="00EB55CE" w:rsidRDefault="00EB55CE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4A29" w14:textId="0C15187A" w:rsidR="002D0160" w:rsidRDefault="002D0160" w:rsidP="002D0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“Kapsam”a ilişkin örnek teşkil eden faaliyetlere “İçerik” sütununda yer verilmiştir.  </w:t>
            </w:r>
          </w:p>
          <w:p w14:paraId="79F8B707" w14:textId="77777777" w:rsidR="002D0160" w:rsidRPr="00FA53F6" w:rsidRDefault="002D0160" w:rsidP="00E46D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3F6" w:rsidRPr="00FA53F6" w14:paraId="489A8C0D" w14:textId="77777777" w:rsidTr="00334E22">
        <w:tc>
          <w:tcPr>
            <w:tcW w:w="410" w:type="pct"/>
            <w:hideMark/>
          </w:tcPr>
          <w:p w14:paraId="3F4291F0" w14:textId="77777777" w:rsidR="00AF513C" w:rsidRPr="00FA53F6" w:rsidRDefault="00AF513C" w:rsidP="00FF4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Odak Alanı</w:t>
            </w:r>
          </w:p>
        </w:tc>
        <w:tc>
          <w:tcPr>
            <w:tcW w:w="1281" w:type="pct"/>
            <w:hideMark/>
          </w:tcPr>
          <w:p w14:paraId="77E576C1" w14:textId="69A2C67F" w:rsidR="00AF513C" w:rsidRPr="00FA53F6" w:rsidRDefault="002D0160" w:rsidP="00FF4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Kapsam</w:t>
            </w:r>
          </w:p>
        </w:tc>
        <w:tc>
          <w:tcPr>
            <w:tcW w:w="3309" w:type="pct"/>
            <w:hideMark/>
          </w:tcPr>
          <w:p w14:paraId="3909D0C3" w14:textId="77777777" w:rsidR="00AF513C" w:rsidRPr="00FA53F6" w:rsidRDefault="00AF513C" w:rsidP="00FF4B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İçerik</w:t>
            </w:r>
          </w:p>
        </w:tc>
      </w:tr>
      <w:tr w:rsidR="00FA53F6" w:rsidRPr="00FA53F6" w14:paraId="490BEF30" w14:textId="77777777" w:rsidTr="00334E22">
        <w:tc>
          <w:tcPr>
            <w:tcW w:w="410" w:type="pct"/>
            <w:vMerge w:val="restart"/>
            <w:textDirection w:val="btLr"/>
          </w:tcPr>
          <w:p w14:paraId="50AD2753" w14:textId="01D4EEB6" w:rsidR="00AF513C" w:rsidRPr="00FA53F6" w:rsidRDefault="002D0160" w:rsidP="00AF513C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Bilişim</w:t>
            </w:r>
            <w:r w:rsidR="00E46D12">
              <w:rPr>
                <w:rFonts w:ascii="Times New Roman" w:hAnsi="Times New Roman" w:cs="Times New Roman"/>
                <w:sz w:val="32"/>
                <w:szCs w:val="32"/>
              </w:rPr>
              <w:t xml:space="preserve"> Danışmanlığı</w:t>
            </w:r>
          </w:p>
          <w:p w14:paraId="6BFBA5F0" w14:textId="21E367C4" w:rsidR="00AF513C" w:rsidRPr="00FA53F6" w:rsidRDefault="00AF513C" w:rsidP="00AF51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3019D283" w14:textId="120882F1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Sanayide Dijital Dönüşüm</w:t>
            </w:r>
          </w:p>
        </w:tc>
        <w:tc>
          <w:tcPr>
            <w:tcW w:w="3309" w:type="pct"/>
            <w:hideMark/>
          </w:tcPr>
          <w:p w14:paraId="048720FF" w14:textId="7AD619D4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Veri üretebilen yeni nesil endüstriyel robotlardan akan verileri okumak, saklamak ve analiz etmek için gerekli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, insan – makine arayüzü, artırılmış gerçeklik </w:t>
            </w:r>
            <w:r w:rsidR="00EB55CE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 sistemler.</w:t>
            </w:r>
          </w:p>
          <w:p w14:paraId="51DF6899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DBBD6" w14:textId="188CF75C" w:rsidR="00EB55CE" w:rsidRPr="00FA53F6" w:rsidRDefault="00EB55CE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3BDB0FD1" w14:textId="77777777" w:rsidTr="00334E22">
        <w:tc>
          <w:tcPr>
            <w:tcW w:w="410" w:type="pct"/>
            <w:vMerge/>
          </w:tcPr>
          <w:p w14:paraId="69E3D43C" w14:textId="358BD668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6451ECCB" w14:textId="2A0796C0" w:rsidR="00AF513C" w:rsidRPr="00FA53F6" w:rsidRDefault="00AF513C" w:rsidP="004F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İnsan Kaynakları Yönetim Sistemleri</w:t>
            </w:r>
          </w:p>
        </w:tc>
        <w:tc>
          <w:tcPr>
            <w:tcW w:w="3309" w:type="pct"/>
            <w:hideMark/>
          </w:tcPr>
          <w:p w14:paraId="0F0427A4" w14:textId="1D78160D" w:rsidR="00AF513C" w:rsidRDefault="00AF513C" w:rsidP="004F3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İşe alım, uyum, performans, terfi ücret ve yetenek yönetimi, kariyer planlama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analitik sistemle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7DF6803" w14:textId="77777777" w:rsidR="00771AC0" w:rsidRDefault="00771AC0" w:rsidP="004F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61046" w14:textId="095C4A88" w:rsidR="00EB55CE" w:rsidRPr="00FA53F6" w:rsidRDefault="00EB55CE" w:rsidP="004F3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384CE9D" w14:textId="77777777" w:rsidTr="00334E22">
        <w:tc>
          <w:tcPr>
            <w:tcW w:w="410" w:type="pct"/>
            <w:vMerge/>
          </w:tcPr>
          <w:p w14:paraId="5DFA9C37" w14:textId="3D751FC8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7247DB45" w14:textId="285B94E0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İş Akış- Süreç Yönetim Sistemleri</w:t>
            </w:r>
          </w:p>
        </w:tc>
        <w:tc>
          <w:tcPr>
            <w:tcW w:w="3309" w:type="pct"/>
            <w:hideMark/>
          </w:tcPr>
          <w:p w14:paraId="49B3D87B" w14:textId="0E0D116F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Evrak ve doküman yönetimi, e-iş yönetim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3F6" w:rsidRPr="00FA53F6" w14:paraId="78D1BB78" w14:textId="77777777" w:rsidTr="00334E22">
        <w:tc>
          <w:tcPr>
            <w:tcW w:w="410" w:type="pct"/>
            <w:vMerge/>
          </w:tcPr>
          <w:p w14:paraId="68F70E09" w14:textId="6FDBEE75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68E26787" w14:textId="173E6E32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Karar Destek Sistemleri</w:t>
            </w:r>
          </w:p>
          <w:p w14:paraId="50AA9456" w14:textId="77777777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pct"/>
            <w:hideMark/>
          </w:tcPr>
          <w:p w14:paraId="1B3606DC" w14:textId="7C2FC2F0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Verilerin işlenerek stratejik karar alma süreçlerinde kullanılmasına yönelik iş zekâsı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yönetim raporlama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sistemler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59525E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98F78" w14:textId="030434B3" w:rsidR="00EB55CE" w:rsidRPr="00FA53F6" w:rsidRDefault="00EB55CE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4C32795F" w14:textId="77777777" w:rsidTr="00334E22">
        <w:tc>
          <w:tcPr>
            <w:tcW w:w="410" w:type="pct"/>
            <w:vMerge/>
          </w:tcPr>
          <w:p w14:paraId="2111D25F" w14:textId="3DDA755D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43C05004" w14:textId="5CDB6F24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Kurumsal Kaynak Planlaması (ERP)</w:t>
            </w:r>
          </w:p>
        </w:tc>
        <w:tc>
          <w:tcPr>
            <w:tcW w:w="3309" w:type="pct"/>
            <w:hideMark/>
          </w:tcPr>
          <w:p w14:paraId="7C131DCC" w14:textId="331523BC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Kurumsal kaynak planlaması sistemlerinin oluşturulmasına yönelik satın alınacak iş süreçleri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sistemler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DBF3B0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8A8F" w14:textId="1CDB0EC1" w:rsidR="00EB55CE" w:rsidRPr="00FA53F6" w:rsidRDefault="00EB55CE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0EFBEF5E" w14:textId="77777777" w:rsidTr="00334E22">
        <w:tc>
          <w:tcPr>
            <w:tcW w:w="410" w:type="pct"/>
            <w:vMerge/>
          </w:tcPr>
          <w:p w14:paraId="47672128" w14:textId="7C380FAF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5A6FC7BB" w14:textId="631055B6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Kurumsal Performans Yönetimi </w:t>
            </w:r>
          </w:p>
        </w:tc>
        <w:tc>
          <w:tcPr>
            <w:tcW w:w="3309" w:type="pct"/>
            <w:hideMark/>
          </w:tcPr>
          <w:p w14:paraId="3A3CAEBE" w14:textId="77777777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Stratejik hedef ve amaçlarının yönetildiği, performansların ve gelişime açık alanların anahtar performans göstergeleri ile ölçüldüğü sistemler</w:t>
            </w:r>
            <w:r w:rsidR="009044AC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</w:p>
          <w:p w14:paraId="357B00AD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E46B9" w14:textId="66A6998B" w:rsidR="009044AC" w:rsidRPr="00FA53F6" w:rsidRDefault="009044A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BB95248" w14:textId="77777777" w:rsidTr="00334E22">
        <w:tc>
          <w:tcPr>
            <w:tcW w:w="410" w:type="pct"/>
            <w:vMerge/>
          </w:tcPr>
          <w:p w14:paraId="721A998D" w14:textId="49074A9F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01819D1A" w14:textId="2FB5FFE2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Nesnelerin İnterneti (Internet of Things)</w:t>
            </w:r>
          </w:p>
        </w:tc>
        <w:tc>
          <w:tcPr>
            <w:tcW w:w="3309" w:type="pct"/>
            <w:hideMark/>
          </w:tcPr>
          <w:p w14:paraId="436B3543" w14:textId="3C31A1D6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Akıllı okuyucuların (sensör) ürettikleri verilerin aktarılması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 vb. </w:t>
            </w:r>
            <w:r w:rsidR="009044AC">
              <w:rPr>
                <w:rFonts w:ascii="Times New Roman" w:hAnsi="Times New Roman" w:cs="Times New Roman"/>
                <w:sz w:val="24"/>
                <w:szCs w:val="24"/>
              </w:rPr>
              <w:t>yönelik sistemler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42AA7A" w14:textId="77777777" w:rsidR="00771AC0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B10E" w14:textId="73705182" w:rsidR="009044AC" w:rsidRPr="00FA53F6" w:rsidRDefault="009044A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7F3E69E" w14:textId="77777777" w:rsidTr="00334E22">
        <w:tc>
          <w:tcPr>
            <w:tcW w:w="410" w:type="pct"/>
            <w:vMerge/>
          </w:tcPr>
          <w:p w14:paraId="3F96848D" w14:textId="3B46E44D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0C67DA63" w14:textId="7CA9F62C" w:rsidR="00AF513C" w:rsidRPr="00FA53F6" w:rsidRDefault="00AF513C" w:rsidP="00AF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Risk Yönetim Sistemleri</w:t>
            </w:r>
          </w:p>
        </w:tc>
        <w:tc>
          <w:tcPr>
            <w:tcW w:w="3309" w:type="pct"/>
            <w:hideMark/>
          </w:tcPr>
          <w:p w14:paraId="2F5AACC9" w14:textId="214BCE6D" w:rsidR="00AF513C" w:rsidRDefault="00AF513C" w:rsidP="00AF4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Kurumsal risk süreçlerinin belirlenmesi, kategorize edilmesi, sorumlularının ve ait olduğu organizasyonel birimlerin belirlenmesini, belirlenen risklerin olasılık ve etki değerlendirmelerinin yapılarak bu risklerin kontrol altına alınması için gerekli aksiyonların takip edilmesini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vb. 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sağlayan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sistemler.</w:t>
            </w:r>
          </w:p>
          <w:p w14:paraId="3D994C01" w14:textId="77777777" w:rsidR="00771AC0" w:rsidRDefault="00771AC0" w:rsidP="00AF4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AE2F" w14:textId="0196F111" w:rsidR="003C3EBC" w:rsidRPr="00FA53F6" w:rsidRDefault="003C3EBC" w:rsidP="00AF4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15274D2F" w14:textId="77777777" w:rsidTr="00334E22">
        <w:tc>
          <w:tcPr>
            <w:tcW w:w="410" w:type="pct"/>
            <w:vMerge/>
          </w:tcPr>
          <w:p w14:paraId="02E2EEF4" w14:textId="28146560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56F5B8EB" w14:textId="3C518989" w:rsidR="00AF513C" w:rsidRPr="00FA53F6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Simülasyon / Tasarım</w:t>
            </w:r>
          </w:p>
        </w:tc>
        <w:tc>
          <w:tcPr>
            <w:tcW w:w="3309" w:type="pct"/>
            <w:hideMark/>
          </w:tcPr>
          <w:p w14:paraId="4B6CB8B0" w14:textId="1F67BE0F" w:rsidR="00AF513C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Bilgisayarlı tasarım, üretim (CAD/ CAM), 3 boyutlu baskı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="00F371C6">
              <w:rPr>
                <w:rFonts w:ascii="Times New Roman" w:hAnsi="Times New Roman" w:cs="Times New Roman"/>
                <w:sz w:val="24"/>
                <w:szCs w:val="24"/>
              </w:rPr>
              <w:t xml:space="preserve"> sistemler.</w:t>
            </w:r>
          </w:p>
          <w:p w14:paraId="1D4031CE" w14:textId="77777777" w:rsidR="00771AC0" w:rsidRDefault="00771AC0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3E4A5" w14:textId="7F8AE401" w:rsidR="003C3EBC" w:rsidRPr="00FA53F6" w:rsidRDefault="003C3EB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2C36D910" w14:textId="77777777" w:rsidTr="00334E22">
        <w:tc>
          <w:tcPr>
            <w:tcW w:w="410" w:type="pct"/>
            <w:vMerge/>
          </w:tcPr>
          <w:p w14:paraId="1FC8C33E" w14:textId="151F56CF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73F6D9B8" w14:textId="2E05352B" w:rsidR="00AF513C" w:rsidRPr="00FA53F6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Talep Planlama Sistemleri (DMS)</w:t>
            </w:r>
          </w:p>
        </w:tc>
        <w:tc>
          <w:tcPr>
            <w:tcW w:w="3309" w:type="pct"/>
            <w:hideMark/>
          </w:tcPr>
          <w:p w14:paraId="44A74E1A" w14:textId="2DC3A151" w:rsidR="00AF513C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Pazarlama, satış, üretim ve tedarik süreçlerine ilişkin planlama</w:t>
            </w:r>
            <w:r w:rsidR="00F371C6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sistemler</w:t>
            </w:r>
            <w:r w:rsidR="00F37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A50C4D" w14:textId="77777777" w:rsidR="00771AC0" w:rsidRDefault="00771AC0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B4A86" w14:textId="3F2205F6" w:rsidR="003C3EBC" w:rsidRPr="00FA53F6" w:rsidRDefault="003C3EB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05B9F659" w14:textId="77777777" w:rsidTr="00334E22">
        <w:tc>
          <w:tcPr>
            <w:tcW w:w="410" w:type="pct"/>
            <w:vMerge/>
            <w:hideMark/>
          </w:tcPr>
          <w:p w14:paraId="4F32013F" w14:textId="31064ED6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4C669DD6" w14:textId="4F5B6C00" w:rsidR="00AF513C" w:rsidRPr="00FA53F6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Tedarik Zinciri Yönetimi</w:t>
            </w:r>
          </w:p>
        </w:tc>
        <w:tc>
          <w:tcPr>
            <w:tcW w:w="3309" w:type="pct"/>
            <w:hideMark/>
          </w:tcPr>
          <w:p w14:paraId="0F0C315B" w14:textId="61864901" w:rsidR="00AF513C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Uçtan uca tedarik, perakende, araç planlama sistemleri, lojistik yönetim ve optimizasyon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sistemler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E9C0AE" w14:textId="77777777" w:rsidR="00771AC0" w:rsidRDefault="00771AC0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ED51" w14:textId="584423B5" w:rsidR="003C3EBC" w:rsidRPr="00FA53F6" w:rsidRDefault="003C3EB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6F0F7505" w14:textId="77777777" w:rsidTr="00334E22">
        <w:tc>
          <w:tcPr>
            <w:tcW w:w="410" w:type="pct"/>
            <w:vMerge/>
            <w:hideMark/>
          </w:tcPr>
          <w:p w14:paraId="4A2C7778" w14:textId="20F1C52B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26F006D8" w14:textId="3AF02F7D" w:rsidR="00AF513C" w:rsidRPr="00FA53F6" w:rsidRDefault="00AF513C" w:rsidP="009F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Üretim Optimizasyon Sistemleri</w:t>
            </w:r>
          </w:p>
        </w:tc>
        <w:tc>
          <w:tcPr>
            <w:tcW w:w="3309" w:type="pct"/>
            <w:hideMark/>
          </w:tcPr>
          <w:p w14:paraId="0F5740A5" w14:textId="1EB94D4E" w:rsidR="003C3EBC" w:rsidRDefault="00AF513C" w:rsidP="003C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Üretim süreçlerinin optimizasyonu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üretim planlama ve çizelgeme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0EC24" w14:textId="77777777" w:rsidR="00771AC0" w:rsidRDefault="00771AC0" w:rsidP="003C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548C" w14:textId="38678C44" w:rsidR="003C3EBC" w:rsidRPr="00FA53F6" w:rsidRDefault="003C3EBC" w:rsidP="003C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3F6" w:rsidRPr="00FA53F6" w14:paraId="79E9BF50" w14:textId="77777777" w:rsidTr="00334E22">
        <w:tc>
          <w:tcPr>
            <w:tcW w:w="410" w:type="pct"/>
            <w:vMerge/>
            <w:hideMark/>
          </w:tcPr>
          <w:p w14:paraId="3F092BD0" w14:textId="6034CB3A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5DE2B316" w14:textId="51CFC70C" w:rsidR="00AF513C" w:rsidRPr="00FA53F6" w:rsidRDefault="00AF513C" w:rsidP="0061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Yapay Zekâ Sistemleri ve Derin Öğrenme (Deep Intelligence)</w:t>
            </w:r>
          </w:p>
        </w:tc>
        <w:tc>
          <w:tcPr>
            <w:tcW w:w="3309" w:type="pct"/>
            <w:hideMark/>
          </w:tcPr>
          <w:p w14:paraId="5CFD3BBE" w14:textId="430EC179" w:rsidR="00AF513C" w:rsidRPr="00FA53F6" w:rsidRDefault="00AF513C" w:rsidP="0061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Akıllı makinelerin üreteceği veri üzerinde koşulabilecek derin ve makine öğrenimi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3F6" w:rsidRPr="00FA53F6" w14:paraId="35EEE4BB" w14:textId="77777777" w:rsidTr="00334E22">
        <w:trPr>
          <w:trHeight w:val="597"/>
        </w:trPr>
        <w:tc>
          <w:tcPr>
            <w:tcW w:w="410" w:type="pct"/>
            <w:vMerge/>
            <w:hideMark/>
          </w:tcPr>
          <w:p w14:paraId="175D515B" w14:textId="5BA30FD4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7206DC1C" w14:textId="37697F94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Veri Güvenliği ve Gizlilik </w:t>
            </w:r>
          </w:p>
        </w:tc>
        <w:tc>
          <w:tcPr>
            <w:tcW w:w="3309" w:type="pct"/>
            <w:hideMark/>
          </w:tcPr>
          <w:p w14:paraId="0C370607" w14:textId="3BD69430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Veri güvenliği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gizliliği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 xml:space="preserve"> vb.</w:t>
            </w: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EBC">
              <w:rPr>
                <w:rFonts w:ascii="Times New Roman" w:hAnsi="Times New Roman" w:cs="Times New Roman"/>
                <w:sz w:val="24"/>
                <w:szCs w:val="24"/>
              </w:rPr>
              <w:t>sistemler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53F6" w:rsidRPr="00FA53F6" w14:paraId="3D37933C" w14:textId="77777777" w:rsidTr="00334E22">
        <w:trPr>
          <w:trHeight w:val="597"/>
        </w:trPr>
        <w:tc>
          <w:tcPr>
            <w:tcW w:w="410" w:type="pct"/>
            <w:vMerge/>
            <w:hideMark/>
          </w:tcPr>
          <w:p w14:paraId="28C99787" w14:textId="079D079E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</w:tcPr>
          <w:p w14:paraId="58C6D55B" w14:textId="4F628F46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Dijital Ürün Pasaportu</w:t>
            </w:r>
          </w:p>
          <w:p w14:paraId="5EF3F08E" w14:textId="77777777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pct"/>
            <w:hideMark/>
          </w:tcPr>
          <w:p w14:paraId="4F605206" w14:textId="7D00341D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Dijital ürün pasaportunun oluşturulması için gerekli 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sistemler.</w:t>
            </w:r>
          </w:p>
        </w:tc>
      </w:tr>
      <w:tr w:rsidR="00FA53F6" w:rsidRPr="00FA53F6" w14:paraId="5D9B7A3D" w14:textId="77777777" w:rsidTr="00334E22">
        <w:trPr>
          <w:trHeight w:val="597"/>
        </w:trPr>
        <w:tc>
          <w:tcPr>
            <w:tcW w:w="410" w:type="pct"/>
            <w:vMerge/>
            <w:hideMark/>
          </w:tcPr>
          <w:p w14:paraId="18184395" w14:textId="3627F590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hideMark/>
          </w:tcPr>
          <w:p w14:paraId="75E57C59" w14:textId="32CD069A" w:rsidR="00AF513C" w:rsidRPr="00FA53F6" w:rsidRDefault="00AF513C" w:rsidP="0061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Sürdürülebilir Bilişim Danışmanlığı</w:t>
            </w:r>
          </w:p>
        </w:tc>
        <w:tc>
          <w:tcPr>
            <w:tcW w:w="3309" w:type="pct"/>
            <w:hideMark/>
          </w:tcPr>
          <w:p w14:paraId="7FE05EA2" w14:textId="3D12B79D" w:rsidR="00AF513C" w:rsidRPr="00FA53F6" w:rsidRDefault="00AF513C" w:rsidP="0061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Ürün ve süreçlerin sürdürülebilir olmasına yönelik 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sistemler.</w:t>
            </w:r>
          </w:p>
        </w:tc>
      </w:tr>
      <w:tr w:rsidR="00FA53F6" w:rsidRPr="00FA53F6" w14:paraId="1FB95A47" w14:textId="77777777" w:rsidTr="00334E22">
        <w:trPr>
          <w:trHeight w:val="597"/>
        </w:trPr>
        <w:tc>
          <w:tcPr>
            <w:tcW w:w="410" w:type="pct"/>
            <w:vMerge/>
            <w:tcBorders>
              <w:bottom w:val="single" w:sz="4" w:space="0" w:color="auto"/>
            </w:tcBorders>
            <w:hideMark/>
          </w:tcPr>
          <w:p w14:paraId="30AD6D13" w14:textId="28A8AD47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pct"/>
            <w:tcBorders>
              <w:bottom w:val="single" w:sz="4" w:space="0" w:color="auto"/>
            </w:tcBorders>
            <w:hideMark/>
          </w:tcPr>
          <w:p w14:paraId="083E2F7F" w14:textId="04389D71" w:rsidR="00AF513C" w:rsidRPr="00FA53F6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>Dijital Dönüşüm</w:t>
            </w:r>
          </w:p>
        </w:tc>
        <w:tc>
          <w:tcPr>
            <w:tcW w:w="3309" w:type="pct"/>
            <w:tcBorders>
              <w:bottom w:val="single" w:sz="4" w:space="0" w:color="auto"/>
            </w:tcBorders>
            <w:hideMark/>
          </w:tcPr>
          <w:p w14:paraId="66F30DBD" w14:textId="77777777" w:rsidR="00AF513C" w:rsidRDefault="00AF513C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sz w:val="24"/>
                <w:szCs w:val="24"/>
              </w:rPr>
              <w:t xml:space="preserve">Uygulama Danışmanlığı başlığında yer alan; çevre, sosyal, yönetişim ve vizyon odak alanlarının iyileştirilmesine yönelik </w:t>
            </w:r>
            <w:r w:rsidR="008870D9">
              <w:rPr>
                <w:rFonts w:ascii="Times New Roman" w:hAnsi="Times New Roman" w:cs="Times New Roman"/>
                <w:sz w:val="24"/>
                <w:szCs w:val="24"/>
              </w:rPr>
              <w:t>sistemler.</w:t>
            </w:r>
          </w:p>
          <w:p w14:paraId="54B0DA73" w14:textId="531D5A35" w:rsidR="00771AC0" w:rsidRPr="00FA53F6" w:rsidRDefault="00771AC0" w:rsidP="00FF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0D9" w:rsidRPr="00FA53F6" w14:paraId="2BFC98A8" w14:textId="77777777" w:rsidTr="00334E22">
        <w:trPr>
          <w:trHeight w:val="438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2A7FAB1B" w14:textId="77777777" w:rsidR="008870D9" w:rsidRDefault="008870D9" w:rsidP="00EB6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580D" w14:textId="77777777" w:rsidR="00334E22" w:rsidRPr="00FA53F6" w:rsidRDefault="00334E22" w:rsidP="00EB6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3F6" w:rsidRPr="00FA53F6" w14:paraId="040C7BE1" w14:textId="77777777" w:rsidTr="00334E22">
        <w:trPr>
          <w:trHeight w:val="438"/>
        </w:trPr>
        <w:tc>
          <w:tcPr>
            <w:tcW w:w="5000" w:type="pct"/>
            <w:gridSpan w:val="3"/>
          </w:tcPr>
          <w:p w14:paraId="0A3A538E" w14:textId="0972C424" w:rsidR="00EB6DBF" w:rsidRPr="00FA53F6" w:rsidRDefault="00AF513C" w:rsidP="00EB6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6DBF" w:rsidRPr="00FA53F6">
              <w:rPr>
                <w:rFonts w:ascii="Times New Roman" w:hAnsi="Times New Roman" w:cs="Times New Roman"/>
                <w:b/>
                <w:sz w:val="24"/>
                <w:szCs w:val="24"/>
              </w:rPr>
              <w:t>- DİĞER</w:t>
            </w:r>
          </w:p>
          <w:p w14:paraId="7AA416D2" w14:textId="77777777" w:rsidR="00EB6DBF" w:rsidRPr="00FA53F6" w:rsidRDefault="00EB6DBF" w:rsidP="00D16B1E">
            <w:pPr>
              <w:ind w:left="33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0D9" w:rsidRPr="00FA53F6" w14:paraId="1D6F5F40" w14:textId="77777777" w:rsidTr="00334E22">
        <w:trPr>
          <w:trHeight w:val="668"/>
        </w:trPr>
        <w:tc>
          <w:tcPr>
            <w:tcW w:w="5000" w:type="pct"/>
            <w:gridSpan w:val="3"/>
          </w:tcPr>
          <w:p w14:paraId="4022E24D" w14:textId="77777777" w:rsidR="00EB6DBF" w:rsidRPr="00FA53F6" w:rsidRDefault="00EB6DBF" w:rsidP="00EB6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3F6">
              <w:rPr>
                <w:rFonts w:ascii="Times New Roman" w:hAnsi="Times New Roman" w:cs="Times New Roman"/>
                <w:bCs/>
                <w:sz w:val="24"/>
                <w:szCs w:val="24"/>
              </w:rPr>
              <w:t>Kamu Gözetimi, Muhasebe ve Denetim Standartları Kurumu tarafından onaylanan kurumsal sürdürülebilirlik raporlaması eğitim programlarına katılım bedeli giderleri</w:t>
            </w:r>
          </w:p>
          <w:p w14:paraId="644746AE" w14:textId="027AE7FF" w:rsidR="00EB6DBF" w:rsidRPr="00FA53F6" w:rsidRDefault="00EB6DBF" w:rsidP="00EB6D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BC9EBD5" w14:textId="77777777" w:rsidR="00EB6DBF" w:rsidRPr="00FA53F6" w:rsidRDefault="00EB6DBF" w:rsidP="00EB6DBF">
      <w:pPr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sectPr w:rsidR="00EB6DBF" w:rsidRPr="00FA53F6" w:rsidSect="002468F8">
      <w:headerReference w:type="default" r:id="rId8"/>
      <w:footerReference w:type="default" r:id="rId9"/>
      <w:pgSz w:w="11906" w:h="16838" w:code="9"/>
      <w:pgMar w:top="992" w:right="851" w:bottom="244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37C8" w14:textId="77777777" w:rsidR="00D0439D" w:rsidRDefault="00D0439D" w:rsidP="005B2EF9">
      <w:pPr>
        <w:spacing w:after="0" w:line="240" w:lineRule="auto"/>
      </w:pPr>
      <w:r>
        <w:separator/>
      </w:r>
    </w:p>
  </w:endnote>
  <w:endnote w:type="continuationSeparator" w:id="0">
    <w:p w14:paraId="1C51983E" w14:textId="77777777" w:rsidR="00D0439D" w:rsidRDefault="00D0439D" w:rsidP="005B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9332905"/>
      <w:docPartObj>
        <w:docPartGallery w:val="Page Numbers (Bottom of Page)"/>
        <w:docPartUnique/>
      </w:docPartObj>
    </w:sdtPr>
    <w:sdtEndPr/>
    <w:sdtContent>
      <w:p w14:paraId="47737C08" w14:textId="77777777" w:rsidR="003143D4" w:rsidRDefault="003143D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E30">
          <w:rPr>
            <w:noProof/>
          </w:rPr>
          <w:t>2</w:t>
        </w:r>
        <w:r>
          <w:fldChar w:fldCharType="end"/>
        </w:r>
      </w:p>
    </w:sdtContent>
  </w:sdt>
  <w:p w14:paraId="346A0869" w14:textId="77777777" w:rsidR="00DE7171" w:rsidRDefault="00DE71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AF32" w14:textId="77777777" w:rsidR="00D0439D" w:rsidRDefault="00D0439D" w:rsidP="005B2EF9">
      <w:pPr>
        <w:spacing w:after="0" w:line="240" w:lineRule="auto"/>
      </w:pPr>
      <w:r>
        <w:separator/>
      </w:r>
    </w:p>
  </w:footnote>
  <w:footnote w:type="continuationSeparator" w:id="0">
    <w:p w14:paraId="2FBD18D9" w14:textId="77777777" w:rsidR="00D0439D" w:rsidRDefault="00D0439D" w:rsidP="005B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F58E" w14:textId="77777777" w:rsidR="00F13479" w:rsidRDefault="00F13479">
    <w:pPr>
      <w:pStyle w:val="stBilgi"/>
    </w:pPr>
    <w:r w:rsidRPr="00C0468A">
      <w:rPr>
        <w:rFonts w:ascii="Times New Roman" w:hAnsi="Times New Roman" w:cs="Times New Roman"/>
        <w:b/>
        <w:sz w:val="24"/>
        <w:szCs w:val="24"/>
      </w:rPr>
      <w:t>Ek-2</w:t>
    </w:r>
  </w:p>
  <w:p w14:paraId="1A2819D0" w14:textId="77777777" w:rsidR="00F13479" w:rsidRDefault="00F134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3CEE"/>
    <w:multiLevelType w:val="hybridMultilevel"/>
    <w:tmpl w:val="7BCA7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01BF"/>
    <w:multiLevelType w:val="hybridMultilevel"/>
    <w:tmpl w:val="5FA47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210"/>
    <w:multiLevelType w:val="hybridMultilevel"/>
    <w:tmpl w:val="6E74C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AA7"/>
    <w:multiLevelType w:val="hybridMultilevel"/>
    <w:tmpl w:val="C9AA1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A4036"/>
    <w:multiLevelType w:val="hybridMultilevel"/>
    <w:tmpl w:val="1E18C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15F4"/>
    <w:multiLevelType w:val="hybridMultilevel"/>
    <w:tmpl w:val="F19EB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162A"/>
    <w:multiLevelType w:val="hybridMultilevel"/>
    <w:tmpl w:val="1A605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A21DB"/>
    <w:multiLevelType w:val="hybridMultilevel"/>
    <w:tmpl w:val="098A3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56C96"/>
    <w:multiLevelType w:val="hybridMultilevel"/>
    <w:tmpl w:val="03F4E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53B2A"/>
    <w:multiLevelType w:val="hybridMultilevel"/>
    <w:tmpl w:val="F4AE7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6543B"/>
    <w:multiLevelType w:val="hybridMultilevel"/>
    <w:tmpl w:val="90D82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C7D66"/>
    <w:multiLevelType w:val="hybridMultilevel"/>
    <w:tmpl w:val="C7C440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D0A5B"/>
    <w:multiLevelType w:val="hybridMultilevel"/>
    <w:tmpl w:val="C74C3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7633"/>
    <w:multiLevelType w:val="hybridMultilevel"/>
    <w:tmpl w:val="C5DC1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4775E"/>
    <w:multiLevelType w:val="hybridMultilevel"/>
    <w:tmpl w:val="2ADC8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A723E"/>
    <w:multiLevelType w:val="hybridMultilevel"/>
    <w:tmpl w:val="1D1874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71584"/>
    <w:multiLevelType w:val="hybridMultilevel"/>
    <w:tmpl w:val="62002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915A0"/>
    <w:multiLevelType w:val="hybridMultilevel"/>
    <w:tmpl w:val="A65E02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C7B51"/>
    <w:multiLevelType w:val="hybridMultilevel"/>
    <w:tmpl w:val="2AA8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56AA"/>
    <w:multiLevelType w:val="hybridMultilevel"/>
    <w:tmpl w:val="06F8C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64571"/>
    <w:multiLevelType w:val="hybridMultilevel"/>
    <w:tmpl w:val="7A160A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971DB"/>
    <w:multiLevelType w:val="hybridMultilevel"/>
    <w:tmpl w:val="407420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B715B"/>
    <w:multiLevelType w:val="hybridMultilevel"/>
    <w:tmpl w:val="FB349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6132D"/>
    <w:multiLevelType w:val="hybridMultilevel"/>
    <w:tmpl w:val="D3F61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C1B6F"/>
    <w:multiLevelType w:val="hybridMultilevel"/>
    <w:tmpl w:val="5824C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81CEF"/>
    <w:multiLevelType w:val="hybridMultilevel"/>
    <w:tmpl w:val="61D81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D57F7"/>
    <w:multiLevelType w:val="hybridMultilevel"/>
    <w:tmpl w:val="F3F215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D428A"/>
    <w:multiLevelType w:val="hybridMultilevel"/>
    <w:tmpl w:val="C3307D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72DEF"/>
    <w:multiLevelType w:val="hybridMultilevel"/>
    <w:tmpl w:val="C8A4EE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62D96"/>
    <w:multiLevelType w:val="hybridMultilevel"/>
    <w:tmpl w:val="3D0A34C4"/>
    <w:lvl w:ilvl="0" w:tplc="3AA63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524FE"/>
    <w:multiLevelType w:val="hybridMultilevel"/>
    <w:tmpl w:val="E8D4B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75E58"/>
    <w:multiLevelType w:val="hybridMultilevel"/>
    <w:tmpl w:val="13EEF9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C29C8"/>
    <w:multiLevelType w:val="hybridMultilevel"/>
    <w:tmpl w:val="2FEAA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81D42"/>
    <w:multiLevelType w:val="hybridMultilevel"/>
    <w:tmpl w:val="605C24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176625">
    <w:abstractNumId w:val="29"/>
  </w:num>
  <w:num w:numId="2" w16cid:durableId="421532286">
    <w:abstractNumId w:val="12"/>
  </w:num>
  <w:num w:numId="3" w16cid:durableId="1725523593">
    <w:abstractNumId w:val="31"/>
  </w:num>
  <w:num w:numId="4" w16cid:durableId="1197767327">
    <w:abstractNumId w:val="30"/>
  </w:num>
  <w:num w:numId="5" w16cid:durableId="735590906">
    <w:abstractNumId w:val="17"/>
  </w:num>
  <w:num w:numId="6" w16cid:durableId="43797994">
    <w:abstractNumId w:val="26"/>
  </w:num>
  <w:num w:numId="7" w16cid:durableId="2096046233">
    <w:abstractNumId w:val="23"/>
  </w:num>
  <w:num w:numId="8" w16cid:durableId="1097408977">
    <w:abstractNumId w:val="5"/>
  </w:num>
  <w:num w:numId="9" w16cid:durableId="1623144885">
    <w:abstractNumId w:val="7"/>
  </w:num>
  <w:num w:numId="10" w16cid:durableId="297880490">
    <w:abstractNumId w:val="9"/>
  </w:num>
  <w:num w:numId="11" w16cid:durableId="1995376037">
    <w:abstractNumId w:val="2"/>
  </w:num>
  <w:num w:numId="12" w16cid:durableId="333386335">
    <w:abstractNumId w:val="24"/>
  </w:num>
  <w:num w:numId="13" w16cid:durableId="1532574331">
    <w:abstractNumId w:val="0"/>
  </w:num>
  <w:num w:numId="14" w16cid:durableId="1068116938">
    <w:abstractNumId w:val="4"/>
  </w:num>
  <w:num w:numId="15" w16cid:durableId="2134051585">
    <w:abstractNumId w:val="33"/>
  </w:num>
  <w:num w:numId="16" w16cid:durableId="1750732713">
    <w:abstractNumId w:val="27"/>
  </w:num>
  <w:num w:numId="17" w16cid:durableId="1727796105">
    <w:abstractNumId w:val="21"/>
  </w:num>
  <w:num w:numId="18" w16cid:durableId="1504738455">
    <w:abstractNumId w:val="28"/>
  </w:num>
  <w:num w:numId="19" w16cid:durableId="1798715414">
    <w:abstractNumId w:val="1"/>
  </w:num>
  <w:num w:numId="20" w16cid:durableId="801734233">
    <w:abstractNumId w:val="10"/>
  </w:num>
  <w:num w:numId="21" w16cid:durableId="1321424009">
    <w:abstractNumId w:val="3"/>
  </w:num>
  <w:num w:numId="22" w16cid:durableId="1727217176">
    <w:abstractNumId w:val="13"/>
  </w:num>
  <w:num w:numId="23" w16cid:durableId="244807725">
    <w:abstractNumId w:val="15"/>
  </w:num>
  <w:num w:numId="24" w16cid:durableId="529800761">
    <w:abstractNumId w:val="8"/>
  </w:num>
  <w:num w:numId="25" w16cid:durableId="1560633125">
    <w:abstractNumId w:val="25"/>
  </w:num>
  <w:num w:numId="26" w16cid:durableId="1479490399">
    <w:abstractNumId w:val="6"/>
  </w:num>
  <w:num w:numId="27" w16cid:durableId="711080916">
    <w:abstractNumId w:val="11"/>
  </w:num>
  <w:num w:numId="28" w16cid:durableId="1534416991">
    <w:abstractNumId w:val="16"/>
  </w:num>
  <w:num w:numId="29" w16cid:durableId="1428885546">
    <w:abstractNumId w:val="32"/>
  </w:num>
  <w:num w:numId="30" w16cid:durableId="1975868890">
    <w:abstractNumId w:val="14"/>
  </w:num>
  <w:num w:numId="31" w16cid:durableId="1171138074">
    <w:abstractNumId w:val="19"/>
  </w:num>
  <w:num w:numId="32" w16cid:durableId="1818373323">
    <w:abstractNumId w:val="18"/>
  </w:num>
  <w:num w:numId="33" w16cid:durableId="2019692617">
    <w:abstractNumId w:val="22"/>
  </w:num>
  <w:num w:numId="34" w16cid:durableId="1894003320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F9"/>
    <w:rsid w:val="00000A0E"/>
    <w:rsid w:val="000045D8"/>
    <w:rsid w:val="0001090D"/>
    <w:rsid w:val="00015D8F"/>
    <w:rsid w:val="000313EC"/>
    <w:rsid w:val="00031B88"/>
    <w:rsid w:val="00031F41"/>
    <w:rsid w:val="0003216F"/>
    <w:rsid w:val="00033EFA"/>
    <w:rsid w:val="00034BD0"/>
    <w:rsid w:val="00041E78"/>
    <w:rsid w:val="00042916"/>
    <w:rsid w:val="00043833"/>
    <w:rsid w:val="0004691D"/>
    <w:rsid w:val="000515D9"/>
    <w:rsid w:val="000517EB"/>
    <w:rsid w:val="000538FE"/>
    <w:rsid w:val="000544D2"/>
    <w:rsid w:val="000567DC"/>
    <w:rsid w:val="00061C66"/>
    <w:rsid w:val="00064609"/>
    <w:rsid w:val="00066E87"/>
    <w:rsid w:val="00071A2A"/>
    <w:rsid w:val="00072CF2"/>
    <w:rsid w:val="000734EF"/>
    <w:rsid w:val="00073CD5"/>
    <w:rsid w:val="0007401B"/>
    <w:rsid w:val="0008735C"/>
    <w:rsid w:val="00093839"/>
    <w:rsid w:val="00095BED"/>
    <w:rsid w:val="000A4EF6"/>
    <w:rsid w:val="000B12FC"/>
    <w:rsid w:val="000B41D1"/>
    <w:rsid w:val="000D49E7"/>
    <w:rsid w:val="000D7ADD"/>
    <w:rsid w:val="000F49A8"/>
    <w:rsid w:val="000F667C"/>
    <w:rsid w:val="001060B9"/>
    <w:rsid w:val="00107CEB"/>
    <w:rsid w:val="00107F46"/>
    <w:rsid w:val="00112A7C"/>
    <w:rsid w:val="00113400"/>
    <w:rsid w:val="001152BA"/>
    <w:rsid w:val="00115686"/>
    <w:rsid w:val="00116C5E"/>
    <w:rsid w:val="0011714C"/>
    <w:rsid w:val="00130A34"/>
    <w:rsid w:val="0013688A"/>
    <w:rsid w:val="00141E30"/>
    <w:rsid w:val="001422BB"/>
    <w:rsid w:val="001457CE"/>
    <w:rsid w:val="00153798"/>
    <w:rsid w:val="00160C35"/>
    <w:rsid w:val="00161777"/>
    <w:rsid w:val="00171D9E"/>
    <w:rsid w:val="001726A1"/>
    <w:rsid w:val="001808E8"/>
    <w:rsid w:val="00183705"/>
    <w:rsid w:val="001938ED"/>
    <w:rsid w:val="00193E3B"/>
    <w:rsid w:val="0019475F"/>
    <w:rsid w:val="00194E6D"/>
    <w:rsid w:val="001A2F72"/>
    <w:rsid w:val="001C1593"/>
    <w:rsid w:val="001D250D"/>
    <w:rsid w:val="001D2EF6"/>
    <w:rsid w:val="001D5465"/>
    <w:rsid w:val="001F3F19"/>
    <w:rsid w:val="001F69B6"/>
    <w:rsid w:val="001F6FBA"/>
    <w:rsid w:val="001F77A5"/>
    <w:rsid w:val="00204187"/>
    <w:rsid w:val="00207622"/>
    <w:rsid w:val="002105B0"/>
    <w:rsid w:val="00216A1B"/>
    <w:rsid w:val="00222D67"/>
    <w:rsid w:val="00233095"/>
    <w:rsid w:val="00235377"/>
    <w:rsid w:val="00236D1A"/>
    <w:rsid w:val="002442C4"/>
    <w:rsid w:val="002452AF"/>
    <w:rsid w:val="002468F8"/>
    <w:rsid w:val="00246D2C"/>
    <w:rsid w:val="0025081F"/>
    <w:rsid w:val="002539CD"/>
    <w:rsid w:val="00255A61"/>
    <w:rsid w:val="00263C16"/>
    <w:rsid w:val="00271D91"/>
    <w:rsid w:val="002737E8"/>
    <w:rsid w:val="00281E3A"/>
    <w:rsid w:val="00283011"/>
    <w:rsid w:val="002A1287"/>
    <w:rsid w:val="002B2A5F"/>
    <w:rsid w:val="002C691E"/>
    <w:rsid w:val="002D0160"/>
    <w:rsid w:val="002D7AD5"/>
    <w:rsid w:val="002E18F6"/>
    <w:rsid w:val="002E20FA"/>
    <w:rsid w:val="002E3267"/>
    <w:rsid w:val="002E43AC"/>
    <w:rsid w:val="002F2336"/>
    <w:rsid w:val="002F3C9E"/>
    <w:rsid w:val="002F3E76"/>
    <w:rsid w:val="002F4250"/>
    <w:rsid w:val="002F4322"/>
    <w:rsid w:val="003000E7"/>
    <w:rsid w:val="003143D4"/>
    <w:rsid w:val="0031538D"/>
    <w:rsid w:val="00321197"/>
    <w:rsid w:val="0032487F"/>
    <w:rsid w:val="003251A1"/>
    <w:rsid w:val="00334E22"/>
    <w:rsid w:val="003373D0"/>
    <w:rsid w:val="00347D67"/>
    <w:rsid w:val="003550F8"/>
    <w:rsid w:val="00357DEA"/>
    <w:rsid w:val="003703A8"/>
    <w:rsid w:val="0037114C"/>
    <w:rsid w:val="00372157"/>
    <w:rsid w:val="0037757C"/>
    <w:rsid w:val="00383577"/>
    <w:rsid w:val="00383840"/>
    <w:rsid w:val="003838E5"/>
    <w:rsid w:val="00391721"/>
    <w:rsid w:val="00392BF8"/>
    <w:rsid w:val="003A3F6C"/>
    <w:rsid w:val="003B35E4"/>
    <w:rsid w:val="003B538C"/>
    <w:rsid w:val="003B76F9"/>
    <w:rsid w:val="003C17C9"/>
    <w:rsid w:val="003C186D"/>
    <w:rsid w:val="003C2F97"/>
    <w:rsid w:val="003C3EBC"/>
    <w:rsid w:val="003C5700"/>
    <w:rsid w:val="003C7CC3"/>
    <w:rsid w:val="003D0417"/>
    <w:rsid w:val="003E4824"/>
    <w:rsid w:val="003F519E"/>
    <w:rsid w:val="004050A7"/>
    <w:rsid w:val="00411AD2"/>
    <w:rsid w:val="00412A7F"/>
    <w:rsid w:val="00414622"/>
    <w:rsid w:val="00415124"/>
    <w:rsid w:val="00440AC1"/>
    <w:rsid w:val="0044128B"/>
    <w:rsid w:val="004432D8"/>
    <w:rsid w:val="0044473D"/>
    <w:rsid w:val="0044555E"/>
    <w:rsid w:val="00455010"/>
    <w:rsid w:val="00457905"/>
    <w:rsid w:val="00465409"/>
    <w:rsid w:val="00470CFD"/>
    <w:rsid w:val="004738DF"/>
    <w:rsid w:val="004816FF"/>
    <w:rsid w:val="00481964"/>
    <w:rsid w:val="004840C8"/>
    <w:rsid w:val="004843F4"/>
    <w:rsid w:val="0048570B"/>
    <w:rsid w:val="00490B98"/>
    <w:rsid w:val="0049653D"/>
    <w:rsid w:val="004A0DE1"/>
    <w:rsid w:val="004A795C"/>
    <w:rsid w:val="004B498C"/>
    <w:rsid w:val="004B7FDE"/>
    <w:rsid w:val="004C0095"/>
    <w:rsid w:val="004C12C2"/>
    <w:rsid w:val="004D2D77"/>
    <w:rsid w:val="004D5399"/>
    <w:rsid w:val="004E2C62"/>
    <w:rsid w:val="004F1955"/>
    <w:rsid w:val="004F39C3"/>
    <w:rsid w:val="004F4193"/>
    <w:rsid w:val="004F70F2"/>
    <w:rsid w:val="00504A3D"/>
    <w:rsid w:val="00511B05"/>
    <w:rsid w:val="00517E8A"/>
    <w:rsid w:val="00531BAA"/>
    <w:rsid w:val="00532FF3"/>
    <w:rsid w:val="0054106E"/>
    <w:rsid w:val="005475AD"/>
    <w:rsid w:val="005550C2"/>
    <w:rsid w:val="00557133"/>
    <w:rsid w:val="0056646A"/>
    <w:rsid w:val="0057387D"/>
    <w:rsid w:val="00574B4D"/>
    <w:rsid w:val="00575183"/>
    <w:rsid w:val="00576AB0"/>
    <w:rsid w:val="00582F94"/>
    <w:rsid w:val="00592866"/>
    <w:rsid w:val="00594DB1"/>
    <w:rsid w:val="00595BC8"/>
    <w:rsid w:val="005A199F"/>
    <w:rsid w:val="005A3EEE"/>
    <w:rsid w:val="005A5445"/>
    <w:rsid w:val="005A7EED"/>
    <w:rsid w:val="005B217C"/>
    <w:rsid w:val="005B2E2D"/>
    <w:rsid w:val="005B2EF9"/>
    <w:rsid w:val="005C66F0"/>
    <w:rsid w:val="005D0908"/>
    <w:rsid w:val="005D2AF8"/>
    <w:rsid w:val="005E0810"/>
    <w:rsid w:val="005E2B8D"/>
    <w:rsid w:val="005F14DC"/>
    <w:rsid w:val="0060048B"/>
    <w:rsid w:val="00601282"/>
    <w:rsid w:val="0060236A"/>
    <w:rsid w:val="006036C1"/>
    <w:rsid w:val="006113FD"/>
    <w:rsid w:val="006149FA"/>
    <w:rsid w:val="00614E58"/>
    <w:rsid w:val="00620182"/>
    <w:rsid w:val="00631706"/>
    <w:rsid w:val="00634808"/>
    <w:rsid w:val="00641644"/>
    <w:rsid w:val="00654D5E"/>
    <w:rsid w:val="00660555"/>
    <w:rsid w:val="00671A02"/>
    <w:rsid w:val="006743D4"/>
    <w:rsid w:val="006763E1"/>
    <w:rsid w:val="006833A4"/>
    <w:rsid w:val="0069122B"/>
    <w:rsid w:val="00691279"/>
    <w:rsid w:val="00693259"/>
    <w:rsid w:val="00696165"/>
    <w:rsid w:val="006B13C6"/>
    <w:rsid w:val="006C0686"/>
    <w:rsid w:val="006C1C82"/>
    <w:rsid w:val="00701038"/>
    <w:rsid w:val="00714398"/>
    <w:rsid w:val="007159BF"/>
    <w:rsid w:val="00717C82"/>
    <w:rsid w:val="00722F98"/>
    <w:rsid w:val="00730243"/>
    <w:rsid w:val="00733459"/>
    <w:rsid w:val="00741514"/>
    <w:rsid w:val="00744A43"/>
    <w:rsid w:val="00755786"/>
    <w:rsid w:val="00763A81"/>
    <w:rsid w:val="007679C1"/>
    <w:rsid w:val="00771AC0"/>
    <w:rsid w:val="00772DD5"/>
    <w:rsid w:val="00776360"/>
    <w:rsid w:val="00777AD1"/>
    <w:rsid w:val="0078057D"/>
    <w:rsid w:val="007866ED"/>
    <w:rsid w:val="00787ACD"/>
    <w:rsid w:val="00791D5C"/>
    <w:rsid w:val="007941DD"/>
    <w:rsid w:val="007966D1"/>
    <w:rsid w:val="007A1BE0"/>
    <w:rsid w:val="007A7E53"/>
    <w:rsid w:val="007B07AF"/>
    <w:rsid w:val="007B2B75"/>
    <w:rsid w:val="007D6929"/>
    <w:rsid w:val="007D717A"/>
    <w:rsid w:val="007E3270"/>
    <w:rsid w:val="007F398D"/>
    <w:rsid w:val="007F7652"/>
    <w:rsid w:val="008008EF"/>
    <w:rsid w:val="008014CF"/>
    <w:rsid w:val="00813E87"/>
    <w:rsid w:val="00814999"/>
    <w:rsid w:val="00815353"/>
    <w:rsid w:val="0081681E"/>
    <w:rsid w:val="00826C58"/>
    <w:rsid w:val="00827915"/>
    <w:rsid w:val="00827EC5"/>
    <w:rsid w:val="00853F22"/>
    <w:rsid w:val="008618C5"/>
    <w:rsid w:val="00864547"/>
    <w:rsid w:val="0086787E"/>
    <w:rsid w:val="00871FE7"/>
    <w:rsid w:val="00874E89"/>
    <w:rsid w:val="0087519F"/>
    <w:rsid w:val="008870D9"/>
    <w:rsid w:val="00891472"/>
    <w:rsid w:val="0089423C"/>
    <w:rsid w:val="00894690"/>
    <w:rsid w:val="00894FEE"/>
    <w:rsid w:val="008972EB"/>
    <w:rsid w:val="008A3AE3"/>
    <w:rsid w:val="008B0C3C"/>
    <w:rsid w:val="008B0E43"/>
    <w:rsid w:val="008B32DE"/>
    <w:rsid w:val="008C0BD7"/>
    <w:rsid w:val="008C34C1"/>
    <w:rsid w:val="008C54DB"/>
    <w:rsid w:val="008D296E"/>
    <w:rsid w:val="008E00CA"/>
    <w:rsid w:val="008E10E2"/>
    <w:rsid w:val="008F11BA"/>
    <w:rsid w:val="008F2139"/>
    <w:rsid w:val="0090137A"/>
    <w:rsid w:val="009044AC"/>
    <w:rsid w:val="009061A9"/>
    <w:rsid w:val="00907268"/>
    <w:rsid w:val="009218E8"/>
    <w:rsid w:val="00943735"/>
    <w:rsid w:val="00953E16"/>
    <w:rsid w:val="00957FDA"/>
    <w:rsid w:val="009678D5"/>
    <w:rsid w:val="00971CA2"/>
    <w:rsid w:val="00975668"/>
    <w:rsid w:val="00977780"/>
    <w:rsid w:val="009812C3"/>
    <w:rsid w:val="00983FE4"/>
    <w:rsid w:val="00991132"/>
    <w:rsid w:val="00993370"/>
    <w:rsid w:val="009A0BF3"/>
    <w:rsid w:val="009A273F"/>
    <w:rsid w:val="009A4A86"/>
    <w:rsid w:val="009B2A86"/>
    <w:rsid w:val="009B4570"/>
    <w:rsid w:val="009B5E49"/>
    <w:rsid w:val="009C2A1E"/>
    <w:rsid w:val="009D371F"/>
    <w:rsid w:val="009D7E9F"/>
    <w:rsid w:val="009E0F4F"/>
    <w:rsid w:val="009E13F0"/>
    <w:rsid w:val="009F5577"/>
    <w:rsid w:val="009F6BD6"/>
    <w:rsid w:val="00A02BA7"/>
    <w:rsid w:val="00A23F96"/>
    <w:rsid w:val="00A31B78"/>
    <w:rsid w:val="00A32EDE"/>
    <w:rsid w:val="00A43A41"/>
    <w:rsid w:val="00A44BCF"/>
    <w:rsid w:val="00A45D6C"/>
    <w:rsid w:val="00A47E01"/>
    <w:rsid w:val="00A54E1C"/>
    <w:rsid w:val="00A70B12"/>
    <w:rsid w:val="00A752B7"/>
    <w:rsid w:val="00A83C6F"/>
    <w:rsid w:val="00A84A4D"/>
    <w:rsid w:val="00A94471"/>
    <w:rsid w:val="00AA0346"/>
    <w:rsid w:val="00AA3531"/>
    <w:rsid w:val="00AA40F3"/>
    <w:rsid w:val="00AB0FCA"/>
    <w:rsid w:val="00AB77F6"/>
    <w:rsid w:val="00AC1B41"/>
    <w:rsid w:val="00AF31A7"/>
    <w:rsid w:val="00AF41B3"/>
    <w:rsid w:val="00AF513C"/>
    <w:rsid w:val="00AF523A"/>
    <w:rsid w:val="00B11756"/>
    <w:rsid w:val="00B2799F"/>
    <w:rsid w:val="00B368E0"/>
    <w:rsid w:val="00B411C1"/>
    <w:rsid w:val="00B51703"/>
    <w:rsid w:val="00B61D8E"/>
    <w:rsid w:val="00B67C14"/>
    <w:rsid w:val="00B7757D"/>
    <w:rsid w:val="00B802D0"/>
    <w:rsid w:val="00B8041B"/>
    <w:rsid w:val="00B81679"/>
    <w:rsid w:val="00B9442A"/>
    <w:rsid w:val="00BA34FA"/>
    <w:rsid w:val="00BB2F1B"/>
    <w:rsid w:val="00BC40C0"/>
    <w:rsid w:val="00BD3E4A"/>
    <w:rsid w:val="00BE157B"/>
    <w:rsid w:val="00BE199F"/>
    <w:rsid w:val="00BE1F5D"/>
    <w:rsid w:val="00BE5547"/>
    <w:rsid w:val="00BF2742"/>
    <w:rsid w:val="00BF486D"/>
    <w:rsid w:val="00BF7B55"/>
    <w:rsid w:val="00C00E3C"/>
    <w:rsid w:val="00C02EAC"/>
    <w:rsid w:val="00C0468A"/>
    <w:rsid w:val="00C05713"/>
    <w:rsid w:val="00C1309C"/>
    <w:rsid w:val="00C168A9"/>
    <w:rsid w:val="00C1781D"/>
    <w:rsid w:val="00C201AB"/>
    <w:rsid w:val="00C30BAE"/>
    <w:rsid w:val="00C31CDD"/>
    <w:rsid w:val="00C3574A"/>
    <w:rsid w:val="00C4318D"/>
    <w:rsid w:val="00C457F5"/>
    <w:rsid w:val="00C56478"/>
    <w:rsid w:val="00C619D6"/>
    <w:rsid w:val="00C661D3"/>
    <w:rsid w:val="00C67CA0"/>
    <w:rsid w:val="00C67CAE"/>
    <w:rsid w:val="00C7463D"/>
    <w:rsid w:val="00C86FBF"/>
    <w:rsid w:val="00C91FD8"/>
    <w:rsid w:val="00CA4435"/>
    <w:rsid w:val="00CA795C"/>
    <w:rsid w:val="00CB02BF"/>
    <w:rsid w:val="00CB02D8"/>
    <w:rsid w:val="00CC17AA"/>
    <w:rsid w:val="00CC578D"/>
    <w:rsid w:val="00CD2D88"/>
    <w:rsid w:val="00CD4314"/>
    <w:rsid w:val="00CD431B"/>
    <w:rsid w:val="00CD545C"/>
    <w:rsid w:val="00CD667B"/>
    <w:rsid w:val="00CD6884"/>
    <w:rsid w:val="00CD74FD"/>
    <w:rsid w:val="00CE0481"/>
    <w:rsid w:val="00CF4CF2"/>
    <w:rsid w:val="00CF50FE"/>
    <w:rsid w:val="00D00A22"/>
    <w:rsid w:val="00D0439D"/>
    <w:rsid w:val="00D05323"/>
    <w:rsid w:val="00D20171"/>
    <w:rsid w:val="00D214D1"/>
    <w:rsid w:val="00D23750"/>
    <w:rsid w:val="00D25738"/>
    <w:rsid w:val="00D30EDA"/>
    <w:rsid w:val="00D423A6"/>
    <w:rsid w:val="00D476EF"/>
    <w:rsid w:val="00D47979"/>
    <w:rsid w:val="00D50FE3"/>
    <w:rsid w:val="00D61504"/>
    <w:rsid w:val="00D61D5B"/>
    <w:rsid w:val="00D632BA"/>
    <w:rsid w:val="00D6384D"/>
    <w:rsid w:val="00D6495A"/>
    <w:rsid w:val="00D6743E"/>
    <w:rsid w:val="00D7174A"/>
    <w:rsid w:val="00D8613F"/>
    <w:rsid w:val="00D8794A"/>
    <w:rsid w:val="00DA7560"/>
    <w:rsid w:val="00DB3C24"/>
    <w:rsid w:val="00DB7EAA"/>
    <w:rsid w:val="00DC3865"/>
    <w:rsid w:val="00DC56AC"/>
    <w:rsid w:val="00DC7B0D"/>
    <w:rsid w:val="00DD34E1"/>
    <w:rsid w:val="00DD34F6"/>
    <w:rsid w:val="00DE7171"/>
    <w:rsid w:val="00DF15B9"/>
    <w:rsid w:val="00E00E1D"/>
    <w:rsid w:val="00E07175"/>
    <w:rsid w:val="00E216C6"/>
    <w:rsid w:val="00E2286B"/>
    <w:rsid w:val="00E30BF6"/>
    <w:rsid w:val="00E36F38"/>
    <w:rsid w:val="00E37704"/>
    <w:rsid w:val="00E42332"/>
    <w:rsid w:val="00E43FC1"/>
    <w:rsid w:val="00E46D12"/>
    <w:rsid w:val="00E53FF9"/>
    <w:rsid w:val="00E57372"/>
    <w:rsid w:val="00E64AAA"/>
    <w:rsid w:val="00E64B08"/>
    <w:rsid w:val="00E6593E"/>
    <w:rsid w:val="00E70383"/>
    <w:rsid w:val="00E71F5A"/>
    <w:rsid w:val="00E76709"/>
    <w:rsid w:val="00E872C3"/>
    <w:rsid w:val="00E87DD0"/>
    <w:rsid w:val="00E927F5"/>
    <w:rsid w:val="00EA51FD"/>
    <w:rsid w:val="00EA5F34"/>
    <w:rsid w:val="00EA5FE0"/>
    <w:rsid w:val="00EB1E13"/>
    <w:rsid w:val="00EB55CE"/>
    <w:rsid w:val="00EB6DBF"/>
    <w:rsid w:val="00EC0315"/>
    <w:rsid w:val="00EC14C3"/>
    <w:rsid w:val="00EC60BC"/>
    <w:rsid w:val="00ED1197"/>
    <w:rsid w:val="00ED5396"/>
    <w:rsid w:val="00ED7715"/>
    <w:rsid w:val="00EE124B"/>
    <w:rsid w:val="00EE56A4"/>
    <w:rsid w:val="00EE6430"/>
    <w:rsid w:val="00EF15B9"/>
    <w:rsid w:val="00EF3CC9"/>
    <w:rsid w:val="00EF40A4"/>
    <w:rsid w:val="00EF45E0"/>
    <w:rsid w:val="00EF54B4"/>
    <w:rsid w:val="00F06F6B"/>
    <w:rsid w:val="00F07B18"/>
    <w:rsid w:val="00F13479"/>
    <w:rsid w:val="00F256E6"/>
    <w:rsid w:val="00F3502C"/>
    <w:rsid w:val="00F371C6"/>
    <w:rsid w:val="00F425F7"/>
    <w:rsid w:val="00F43FC0"/>
    <w:rsid w:val="00F44B5F"/>
    <w:rsid w:val="00F55EEA"/>
    <w:rsid w:val="00F67208"/>
    <w:rsid w:val="00F7049C"/>
    <w:rsid w:val="00F72057"/>
    <w:rsid w:val="00F751C2"/>
    <w:rsid w:val="00F77759"/>
    <w:rsid w:val="00F830ED"/>
    <w:rsid w:val="00F91EE0"/>
    <w:rsid w:val="00F93FE4"/>
    <w:rsid w:val="00FA53F6"/>
    <w:rsid w:val="00FB3209"/>
    <w:rsid w:val="00FB3B7F"/>
    <w:rsid w:val="00FC24D8"/>
    <w:rsid w:val="00FD5E52"/>
    <w:rsid w:val="00FF4367"/>
    <w:rsid w:val="00FF4BC6"/>
    <w:rsid w:val="00FF661B"/>
    <w:rsid w:val="00FF795C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FF530"/>
  <w15:docId w15:val="{D413696C-4FF9-464C-B7C7-2D70D1C4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EF9"/>
  </w:style>
  <w:style w:type="paragraph" w:styleId="AltBilgi">
    <w:name w:val="footer"/>
    <w:basedOn w:val="Normal"/>
    <w:link w:val="AltBilgiChar"/>
    <w:uiPriority w:val="99"/>
    <w:unhideWhenUsed/>
    <w:rsid w:val="005B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EF9"/>
  </w:style>
  <w:style w:type="character" w:customStyle="1" w:styleId="apple-converted-space">
    <w:name w:val="apple-converted-space"/>
    <w:basedOn w:val="VarsaylanParagrafYazTipi"/>
    <w:rsid w:val="009E13F0"/>
  </w:style>
  <w:style w:type="character" w:styleId="Gl">
    <w:name w:val="Strong"/>
    <w:basedOn w:val="VarsaylanParagrafYazTipi"/>
    <w:uiPriority w:val="22"/>
    <w:qFormat/>
    <w:rsid w:val="009E13F0"/>
    <w:rPr>
      <w:b/>
      <w:bCs/>
    </w:rPr>
  </w:style>
  <w:style w:type="paragraph" w:styleId="ListeParagraf">
    <w:name w:val="List Paragraph"/>
    <w:basedOn w:val="Normal"/>
    <w:uiPriority w:val="34"/>
    <w:qFormat/>
    <w:rsid w:val="001617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3A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F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70CF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70CF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70CF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70CF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70CFD"/>
    <w:rPr>
      <w:b/>
      <w:bCs/>
      <w:sz w:val="20"/>
      <w:szCs w:val="20"/>
    </w:rPr>
  </w:style>
  <w:style w:type="paragraph" w:customStyle="1" w:styleId="Default">
    <w:name w:val="Default"/>
    <w:rsid w:val="00F42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BCE8-7F2D-4FDA-988E-B506F2D1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Ekonomi Bakanlığı</Company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 Kahya Yılmaz</dc:creator>
  <cp:keywords/>
  <dc:description/>
  <cp:lastModifiedBy>Ceyda Kahya Yılmaz</cp:lastModifiedBy>
  <cp:revision>3</cp:revision>
  <cp:lastPrinted>2025-10-09T13:32:00Z</cp:lastPrinted>
  <dcterms:created xsi:type="dcterms:W3CDTF">2025-12-03T09:14:00Z</dcterms:created>
  <dcterms:modified xsi:type="dcterms:W3CDTF">2025-12-03T10:43:00Z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user=36319298258</vt:lpwstr>
  </property>
  <property fmtid="{D5CDD505-2E9C-101B-9397-08002B2CF9AE}" pid="4" name="geodilabeltime">
    <vt:lpwstr>datetime=2024-06-06T08:20:21.509Z</vt:lpwstr>
  </property>
</Properties>
</file>